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F4913" w14:textId="6BF04F82" w:rsidR="00675E93" w:rsidRPr="007036C6" w:rsidRDefault="00675E93" w:rsidP="009F0F09">
      <w:pPr>
        <w:spacing w:before="600" w:after="360"/>
        <w:jc w:val="center"/>
        <w:rPr>
          <w:b/>
          <w:sz w:val="32"/>
          <w:szCs w:val="36"/>
        </w:rPr>
      </w:pPr>
      <w:r w:rsidRPr="007036C6">
        <w:rPr>
          <w:b/>
          <w:sz w:val="32"/>
          <w:szCs w:val="36"/>
        </w:rPr>
        <w:t>Public Transport Service and Passengers’ Satisfaction</w:t>
      </w:r>
      <w:r w:rsidR="00440A55" w:rsidRPr="007036C6">
        <w:rPr>
          <w:b/>
          <w:sz w:val="32"/>
          <w:szCs w:val="36"/>
        </w:rPr>
        <w:t xml:space="preserve"> in </w:t>
      </w:r>
      <w:r w:rsidR="001F2485" w:rsidRPr="007036C6">
        <w:rPr>
          <w:b/>
          <w:sz w:val="32"/>
          <w:szCs w:val="36"/>
        </w:rPr>
        <w:t>Madrid</w:t>
      </w:r>
      <w:r w:rsidRPr="007036C6">
        <w:rPr>
          <w:b/>
          <w:sz w:val="32"/>
          <w:szCs w:val="36"/>
        </w:rPr>
        <w:t>: An Empirical Investigation</w:t>
      </w:r>
    </w:p>
    <w:p w14:paraId="53E34C1F" w14:textId="27FF56AC" w:rsidR="00675E93" w:rsidRPr="007036C6" w:rsidRDefault="00BF7BA2" w:rsidP="00675E93">
      <w:pPr>
        <w:pStyle w:val="BodyText"/>
        <w:spacing w:after="360"/>
        <w:jc w:val="center"/>
        <w:rPr>
          <w:iCs/>
          <w:sz w:val="24"/>
          <w:szCs w:val="28"/>
          <w:lang w:val="en-US"/>
        </w:rPr>
      </w:pPr>
      <w:r w:rsidRPr="007036C6">
        <w:rPr>
          <w:b/>
          <w:iCs/>
          <w:sz w:val="24"/>
          <w:szCs w:val="28"/>
          <w:lang w:val="en-US"/>
        </w:rPr>
        <w:t>Edward</w:t>
      </w:r>
      <w:r w:rsidR="00BF1696" w:rsidRPr="007036C6">
        <w:rPr>
          <w:b/>
          <w:iCs/>
          <w:sz w:val="24"/>
          <w:szCs w:val="28"/>
          <w:lang w:val="en-US"/>
        </w:rPr>
        <w:t xml:space="preserve"> Oni</w:t>
      </w:r>
      <w:r w:rsidR="00675E93" w:rsidRPr="007036C6">
        <w:rPr>
          <w:b/>
          <w:iCs/>
          <w:sz w:val="24"/>
          <w:szCs w:val="28"/>
          <w:lang w:val="en-US"/>
        </w:rPr>
        <w:t xml:space="preserve"> </w:t>
      </w:r>
      <w:r w:rsidR="00CF07C1" w:rsidRPr="007036C6">
        <w:rPr>
          <w:b/>
          <w:iCs/>
          <w:sz w:val="24"/>
          <w:szCs w:val="28"/>
          <w:lang w:val="en-US"/>
        </w:rPr>
        <w:t>H</w:t>
      </w:r>
      <w:r w:rsidR="00644BC9" w:rsidRPr="007036C6">
        <w:rPr>
          <w:b/>
          <w:iCs/>
          <w:sz w:val="24"/>
          <w:szCs w:val="28"/>
          <w:lang w:val="en-US"/>
        </w:rPr>
        <w:t>e</w:t>
      </w:r>
      <w:r w:rsidR="00675E93" w:rsidRPr="007036C6">
        <w:rPr>
          <w:b/>
          <w:iCs/>
          <w:sz w:val="24"/>
          <w:szCs w:val="28"/>
          <w:lang w:val="en-US"/>
        </w:rPr>
        <w:t>ye</w:t>
      </w:r>
      <w:r w:rsidR="00CF07C1" w:rsidRPr="007036C6">
        <w:rPr>
          <w:b/>
          <w:iCs/>
          <w:sz w:val="24"/>
          <w:szCs w:val="28"/>
          <w:lang w:val="en-US"/>
        </w:rPr>
        <w:t>d</w:t>
      </w:r>
      <w:r w:rsidR="00675E93" w:rsidRPr="007036C6">
        <w:rPr>
          <w:b/>
          <w:iCs/>
          <w:sz w:val="24"/>
          <w:szCs w:val="28"/>
          <w:lang w:val="en-US"/>
        </w:rPr>
        <w:t>de</w:t>
      </w:r>
      <w:r w:rsidR="00573DFB" w:rsidRPr="007036C6">
        <w:rPr>
          <w:b/>
          <w:iCs/>
          <w:sz w:val="24"/>
          <w:szCs w:val="28"/>
          <w:vertAlign w:val="superscript"/>
          <w:lang w:val="en-US"/>
        </w:rPr>
        <w:t>1</w:t>
      </w:r>
      <w:r w:rsidR="00573DFB" w:rsidRPr="007036C6">
        <w:rPr>
          <w:rStyle w:val="FootnoteReference"/>
          <w:iCs/>
          <w:sz w:val="24"/>
          <w:szCs w:val="28"/>
          <w:lang w:val="en-US"/>
        </w:rPr>
        <w:footnoteReference w:id="1"/>
      </w:r>
      <w:r w:rsidR="00675E93" w:rsidRPr="007036C6">
        <w:rPr>
          <w:iCs/>
          <w:sz w:val="24"/>
          <w:szCs w:val="28"/>
          <w:lang w:val="en-US"/>
        </w:rPr>
        <w:t xml:space="preserve">, </w:t>
      </w:r>
      <w:r w:rsidR="009D2997" w:rsidRPr="007036C6">
        <w:rPr>
          <w:b/>
          <w:iCs/>
          <w:sz w:val="24"/>
          <w:szCs w:val="28"/>
          <w:lang w:val="en-US"/>
        </w:rPr>
        <w:t>David</w:t>
      </w:r>
      <w:r w:rsidR="00675E93" w:rsidRPr="007036C6">
        <w:rPr>
          <w:b/>
          <w:iCs/>
          <w:sz w:val="24"/>
          <w:szCs w:val="28"/>
          <w:lang w:val="en-US"/>
        </w:rPr>
        <w:t xml:space="preserve"> </w:t>
      </w:r>
      <w:r w:rsidR="00CF07C1" w:rsidRPr="007036C6">
        <w:rPr>
          <w:b/>
          <w:iCs/>
          <w:sz w:val="24"/>
          <w:szCs w:val="28"/>
          <w:lang w:val="en-US"/>
        </w:rPr>
        <w:t>Huy Zan</w:t>
      </w:r>
      <w:r w:rsidR="00675E93" w:rsidRPr="007036C6">
        <w:rPr>
          <w:b/>
          <w:iCs/>
          <w:sz w:val="24"/>
          <w:szCs w:val="28"/>
          <w:lang w:val="en-US"/>
        </w:rPr>
        <w:t>ella</w:t>
      </w:r>
      <w:r w:rsidR="00573DFB" w:rsidRPr="007036C6">
        <w:rPr>
          <w:b/>
          <w:iCs/>
          <w:sz w:val="24"/>
          <w:szCs w:val="28"/>
          <w:vertAlign w:val="superscript"/>
          <w:lang w:val="en-US"/>
        </w:rPr>
        <w:t>2</w:t>
      </w:r>
      <w:r w:rsidR="008F6D3B" w:rsidRPr="007036C6">
        <w:rPr>
          <w:iCs/>
          <w:sz w:val="24"/>
          <w:szCs w:val="28"/>
          <w:lang w:val="en-US"/>
        </w:rPr>
        <w:t>,</w:t>
      </w:r>
      <w:r w:rsidR="00C755D1" w:rsidRPr="007036C6">
        <w:rPr>
          <w:iCs/>
          <w:sz w:val="24"/>
          <w:szCs w:val="28"/>
          <w:lang w:val="en-US"/>
        </w:rPr>
        <w:t xml:space="preserve"> </w:t>
      </w:r>
      <w:r w:rsidR="008F6D3B" w:rsidRPr="007036C6">
        <w:rPr>
          <w:b/>
          <w:iCs/>
          <w:sz w:val="24"/>
          <w:szCs w:val="28"/>
          <w:lang w:val="en-US"/>
        </w:rPr>
        <w:t xml:space="preserve">Unzule </w:t>
      </w:r>
      <w:r w:rsidR="00BA6476" w:rsidRPr="007036C6">
        <w:rPr>
          <w:b/>
          <w:iCs/>
          <w:sz w:val="24"/>
          <w:szCs w:val="28"/>
          <w:lang w:val="en-US"/>
        </w:rPr>
        <w:t xml:space="preserve">Ban </w:t>
      </w:r>
      <w:r w:rsidR="008F6D3B" w:rsidRPr="007036C6">
        <w:rPr>
          <w:b/>
          <w:iCs/>
          <w:sz w:val="24"/>
          <w:szCs w:val="28"/>
          <w:lang w:val="en-US"/>
        </w:rPr>
        <w:t>Buluç</w:t>
      </w:r>
      <w:r w:rsidR="008F6D3B" w:rsidRPr="007036C6">
        <w:rPr>
          <w:b/>
          <w:iCs/>
          <w:sz w:val="24"/>
          <w:szCs w:val="28"/>
          <w:vertAlign w:val="superscript"/>
          <w:lang w:val="en-US"/>
        </w:rPr>
        <w:t>3</w:t>
      </w:r>
      <w:r w:rsidR="00DF6CD1" w:rsidRPr="007036C6">
        <w:rPr>
          <w:b/>
          <w:iCs/>
          <w:sz w:val="24"/>
          <w:szCs w:val="28"/>
          <w:vertAlign w:val="superscript"/>
          <w:lang w:val="en-US"/>
        </w:rPr>
        <w:t xml:space="preserve"> </w:t>
      </w:r>
      <w:r w:rsidR="00DF6CD1" w:rsidRPr="007036C6">
        <w:rPr>
          <w:iCs/>
          <w:sz w:val="24"/>
          <w:szCs w:val="28"/>
          <w:lang w:val="en-US"/>
        </w:rPr>
        <w:t>and</w:t>
      </w:r>
      <w:r w:rsidR="008F6D3B" w:rsidRPr="007036C6">
        <w:rPr>
          <w:iCs/>
          <w:sz w:val="24"/>
          <w:szCs w:val="28"/>
          <w:lang w:val="en-US"/>
        </w:rPr>
        <w:t xml:space="preserve"> </w:t>
      </w:r>
      <w:r w:rsidR="00E9418F" w:rsidRPr="007036C6">
        <w:rPr>
          <w:b/>
          <w:iCs/>
          <w:sz w:val="24"/>
          <w:szCs w:val="28"/>
          <w:lang w:val="en-US"/>
        </w:rPr>
        <w:t xml:space="preserve">Xavier </w:t>
      </w:r>
      <w:r w:rsidR="00502EB6" w:rsidRPr="007036C6">
        <w:rPr>
          <w:b/>
          <w:iCs/>
          <w:sz w:val="24"/>
          <w:szCs w:val="28"/>
          <w:lang w:val="en-US"/>
        </w:rPr>
        <w:t xml:space="preserve">Santiago </w:t>
      </w:r>
      <w:r w:rsidR="00E9418F" w:rsidRPr="007036C6">
        <w:rPr>
          <w:b/>
          <w:iCs/>
          <w:sz w:val="24"/>
          <w:szCs w:val="28"/>
          <w:lang w:val="en-US"/>
        </w:rPr>
        <w:t>Fuentes</w:t>
      </w:r>
      <w:r w:rsidR="00E9418F" w:rsidRPr="007036C6">
        <w:rPr>
          <w:b/>
          <w:iCs/>
          <w:sz w:val="24"/>
          <w:szCs w:val="28"/>
          <w:vertAlign w:val="superscript"/>
          <w:lang w:val="en-US"/>
        </w:rPr>
        <w:t>4</w:t>
      </w:r>
      <w:r w:rsidR="00E9418F" w:rsidRPr="007036C6">
        <w:rPr>
          <w:iCs/>
          <w:sz w:val="24"/>
          <w:szCs w:val="28"/>
          <w:lang w:val="en-US"/>
        </w:rPr>
        <w:t xml:space="preserve"> </w:t>
      </w:r>
      <w:r w:rsidR="00C755D1" w:rsidRPr="007036C6">
        <w:rPr>
          <w:iCs/>
          <w:sz w:val="24"/>
          <w:szCs w:val="28"/>
          <w:lang w:val="en-US"/>
        </w:rPr>
        <w:t>(</w:t>
      </w:r>
      <w:r w:rsidR="00C755D1" w:rsidRPr="007036C6">
        <w:rPr>
          <w:iCs/>
          <w:color w:val="FF0000"/>
          <w:sz w:val="24"/>
          <w:szCs w:val="28"/>
          <w:lang w:val="en-US"/>
        </w:rPr>
        <w:t>the order is First Name</w:t>
      </w:r>
      <w:r w:rsidR="005F20EB" w:rsidRPr="007036C6">
        <w:rPr>
          <w:iCs/>
          <w:color w:val="FF0000"/>
          <w:sz w:val="24"/>
          <w:szCs w:val="28"/>
          <w:lang w:val="en-US"/>
        </w:rPr>
        <w:t>,</w:t>
      </w:r>
      <w:r w:rsidR="00C755D1" w:rsidRPr="007036C6">
        <w:rPr>
          <w:iCs/>
          <w:color w:val="FF0000"/>
          <w:sz w:val="24"/>
          <w:szCs w:val="28"/>
          <w:lang w:val="en-US"/>
        </w:rPr>
        <w:t xml:space="preserve"> Middle Name</w:t>
      </w:r>
      <w:r w:rsidR="005F20EB" w:rsidRPr="007036C6">
        <w:rPr>
          <w:iCs/>
          <w:color w:val="FF0000"/>
          <w:sz w:val="24"/>
          <w:szCs w:val="28"/>
          <w:lang w:val="en-US"/>
        </w:rPr>
        <w:t>, and</w:t>
      </w:r>
      <w:r w:rsidR="00C755D1" w:rsidRPr="007036C6">
        <w:rPr>
          <w:iCs/>
          <w:color w:val="FF0000"/>
          <w:sz w:val="24"/>
          <w:szCs w:val="28"/>
          <w:lang w:val="en-US"/>
        </w:rPr>
        <w:t xml:space="preserve"> </w:t>
      </w:r>
      <w:r w:rsidR="005801D6" w:rsidRPr="007036C6">
        <w:rPr>
          <w:iCs/>
          <w:color w:val="FF0000"/>
          <w:sz w:val="24"/>
          <w:szCs w:val="28"/>
          <w:lang w:val="en-US"/>
        </w:rPr>
        <w:t>Family Name</w:t>
      </w:r>
      <w:r w:rsidR="00C755D1" w:rsidRPr="007036C6">
        <w:rPr>
          <w:iCs/>
          <w:sz w:val="24"/>
          <w:szCs w:val="28"/>
          <w:lang w:val="en-US"/>
        </w:rPr>
        <w:t>)</w:t>
      </w:r>
    </w:p>
    <w:p w14:paraId="01E75AAA" w14:textId="77777777" w:rsidR="00BB57B8" w:rsidRPr="007036C6" w:rsidRDefault="00573DFB" w:rsidP="00425036">
      <w:pPr>
        <w:pStyle w:val="BodyText"/>
        <w:jc w:val="left"/>
        <w:rPr>
          <w:bCs/>
          <w:iCs/>
          <w:sz w:val="20"/>
          <w:szCs w:val="24"/>
          <w:lang w:val="en-US"/>
        </w:rPr>
      </w:pPr>
      <w:r w:rsidRPr="007036C6">
        <w:rPr>
          <w:bCs/>
          <w:iCs/>
          <w:sz w:val="20"/>
          <w:szCs w:val="24"/>
          <w:vertAlign w:val="superscript"/>
          <w:lang w:val="en-US"/>
        </w:rPr>
        <w:t>1</w:t>
      </w:r>
      <w:r w:rsidR="00675E93" w:rsidRPr="007036C6">
        <w:rPr>
          <w:bCs/>
          <w:iCs/>
          <w:sz w:val="20"/>
          <w:szCs w:val="24"/>
          <w:lang w:val="en-US"/>
        </w:rPr>
        <w:t xml:space="preserve"> </w:t>
      </w:r>
      <w:r w:rsidR="00BB57B8" w:rsidRPr="007036C6">
        <w:rPr>
          <w:bCs/>
          <w:iCs/>
          <w:sz w:val="20"/>
          <w:szCs w:val="24"/>
          <w:lang w:val="en-US"/>
        </w:rPr>
        <w:t xml:space="preserve">Thuongmai University, 79 Ho Tung Mau, Cau Giay, Hanoi, Vietnam </w:t>
      </w:r>
    </w:p>
    <w:p w14:paraId="361199B8" w14:textId="1F9DC04F" w:rsidR="00425036" w:rsidRPr="007036C6" w:rsidRDefault="00425036" w:rsidP="00425036">
      <w:pPr>
        <w:pStyle w:val="BodyText"/>
        <w:jc w:val="left"/>
        <w:rPr>
          <w:bCs/>
          <w:iCs/>
          <w:sz w:val="20"/>
          <w:lang w:val="en-US"/>
        </w:rPr>
      </w:pPr>
      <w:r w:rsidRPr="007036C6">
        <w:rPr>
          <w:noProof/>
          <w:sz w:val="20"/>
          <w:shd w:val="clear" w:color="auto" w:fill="FFFFFF"/>
          <w:lang w:val="en-US" w:eastAsia="en-US"/>
        </w:rPr>
        <w:drawing>
          <wp:inline distT="0" distB="0" distL="0" distR="0" wp14:anchorId="6110EB30" wp14:editId="611B8D57">
            <wp:extent cx="152400" cy="152400"/>
            <wp:effectExtent l="0" t="0" r="0"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036C6">
        <w:rPr>
          <w:sz w:val="20"/>
          <w:lang w:val="en-US"/>
        </w:rPr>
        <w:t xml:space="preserve"> </w:t>
      </w:r>
      <w:hyperlink r:id="rId9" w:history="1">
        <w:r w:rsidRPr="007036C6">
          <w:rPr>
            <w:rStyle w:val="Hyperlink"/>
            <w:color w:val="auto"/>
            <w:sz w:val="20"/>
            <w:u w:val="none"/>
            <w:lang w:val="en-US"/>
          </w:rPr>
          <w:t>https://orcid.org/0000-0002-7478-3699</w:t>
        </w:r>
      </w:hyperlink>
      <w:r w:rsidRPr="007036C6">
        <w:rPr>
          <w:sz w:val="20"/>
          <w:lang w:val="en-US"/>
        </w:rPr>
        <w:t xml:space="preserve"> </w:t>
      </w:r>
    </w:p>
    <w:p w14:paraId="6AF51950" w14:textId="42006B2D" w:rsidR="00675E93" w:rsidRPr="007036C6" w:rsidRDefault="00675E93" w:rsidP="00675E93">
      <w:pPr>
        <w:pStyle w:val="BodyText"/>
        <w:spacing w:after="60"/>
        <w:jc w:val="left"/>
        <w:rPr>
          <w:bCs/>
          <w:iCs/>
          <w:sz w:val="20"/>
          <w:lang w:val="en-US"/>
        </w:rPr>
      </w:pPr>
      <w:r w:rsidRPr="007036C6">
        <w:rPr>
          <w:bCs/>
          <w:iCs/>
          <w:sz w:val="20"/>
          <w:lang w:val="en-US"/>
        </w:rPr>
        <w:t xml:space="preserve">  e-mail: </w:t>
      </w:r>
      <w:r w:rsidR="00894554" w:rsidRPr="007036C6">
        <w:rPr>
          <w:bCs/>
          <w:iCs/>
          <w:sz w:val="20"/>
          <w:lang w:val="en-US"/>
        </w:rPr>
        <w:t>eoheyedde@edu.vn</w:t>
      </w:r>
    </w:p>
    <w:p w14:paraId="57D8F976" w14:textId="43C0F916" w:rsidR="00675E93" w:rsidRPr="007036C6" w:rsidRDefault="00573DFB" w:rsidP="00894554">
      <w:pPr>
        <w:pStyle w:val="BodyText"/>
        <w:rPr>
          <w:bCs/>
          <w:iCs/>
          <w:sz w:val="20"/>
          <w:szCs w:val="24"/>
          <w:lang w:val="en-US"/>
        </w:rPr>
      </w:pPr>
      <w:r w:rsidRPr="007036C6">
        <w:rPr>
          <w:bCs/>
          <w:iCs/>
          <w:sz w:val="20"/>
          <w:szCs w:val="24"/>
          <w:vertAlign w:val="superscript"/>
          <w:lang w:val="en-US"/>
        </w:rPr>
        <w:t>2</w:t>
      </w:r>
      <w:r w:rsidR="00675E93" w:rsidRPr="007036C6">
        <w:rPr>
          <w:bCs/>
          <w:iCs/>
          <w:sz w:val="20"/>
          <w:szCs w:val="24"/>
          <w:lang w:val="en-US"/>
        </w:rPr>
        <w:t xml:space="preserve"> </w:t>
      </w:r>
      <w:r w:rsidR="00894554" w:rsidRPr="007036C6">
        <w:rPr>
          <w:bCs/>
          <w:iCs/>
          <w:sz w:val="20"/>
          <w:szCs w:val="24"/>
          <w:lang w:val="en-US"/>
        </w:rPr>
        <w:t>“Aleksander Moisiu</w:t>
      </w:r>
      <w:r w:rsidR="00FF2381" w:rsidRPr="007036C6">
        <w:rPr>
          <w:bCs/>
          <w:iCs/>
          <w:sz w:val="20"/>
          <w:szCs w:val="24"/>
          <w:lang w:val="en-US"/>
        </w:rPr>
        <w:t>”</w:t>
      </w:r>
      <w:r w:rsidR="00894554" w:rsidRPr="007036C6">
        <w:rPr>
          <w:bCs/>
          <w:iCs/>
          <w:sz w:val="20"/>
          <w:szCs w:val="24"/>
          <w:lang w:val="en-US"/>
        </w:rPr>
        <w:t xml:space="preserve"> University, </w:t>
      </w:r>
      <w:r w:rsidR="003A2D5E" w:rsidRPr="007036C6">
        <w:rPr>
          <w:bCs/>
          <w:iCs/>
          <w:sz w:val="20"/>
          <w:szCs w:val="24"/>
          <w:lang w:val="en-US"/>
        </w:rPr>
        <w:t>23</w:t>
      </w:r>
      <w:r w:rsidR="00894554" w:rsidRPr="007036C6">
        <w:rPr>
          <w:bCs/>
          <w:iCs/>
          <w:sz w:val="20"/>
          <w:szCs w:val="24"/>
          <w:lang w:val="en-US"/>
        </w:rPr>
        <w:t xml:space="preserve"> Currila, Durres, Albania</w:t>
      </w:r>
    </w:p>
    <w:p w14:paraId="7323FE18" w14:textId="3699ACD5" w:rsidR="00B83C33" w:rsidRPr="007036C6" w:rsidRDefault="00B83C33" w:rsidP="00B83C33">
      <w:pPr>
        <w:pStyle w:val="BodyText"/>
        <w:jc w:val="left"/>
        <w:rPr>
          <w:bCs/>
          <w:iCs/>
          <w:sz w:val="20"/>
          <w:lang w:val="en-US"/>
        </w:rPr>
      </w:pPr>
      <w:r w:rsidRPr="007036C6">
        <w:rPr>
          <w:noProof/>
          <w:sz w:val="20"/>
          <w:shd w:val="clear" w:color="auto" w:fill="FFFFFF"/>
          <w:lang w:val="en-US" w:eastAsia="en-US"/>
        </w:rPr>
        <w:drawing>
          <wp:inline distT="0" distB="0" distL="0" distR="0" wp14:anchorId="46D7C5AC" wp14:editId="5EC72123">
            <wp:extent cx="152400" cy="152400"/>
            <wp:effectExtent l="0" t="0" r="0" b="0"/>
            <wp:docPr id="2"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036C6">
        <w:rPr>
          <w:sz w:val="20"/>
          <w:lang w:val="en-US"/>
        </w:rPr>
        <w:t xml:space="preserve"> </w:t>
      </w:r>
      <w:hyperlink r:id="rId10" w:history="1">
        <w:r w:rsidRPr="007036C6">
          <w:rPr>
            <w:rStyle w:val="Hyperlink"/>
            <w:color w:val="auto"/>
            <w:sz w:val="20"/>
            <w:u w:val="none"/>
            <w:lang w:val="en-US"/>
          </w:rPr>
          <w:t>https://orcid.org/0000-0002-6474-7539</w:t>
        </w:r>
      </w:hyperlink>
      <w:r w:rsidRPr="007036C6">
        <w:rPr>
          <w:sz w:val="20"/>
          <w:lang w:val="en-US"/>
        </w:rPr>
        <w:t xml:space="preserve">  </w:t>
      </w:r>
    </w:p>
    <w:p w14:paraId="18A8D014" w14:textId="37261AC4" w:rsidR="00093320" w:rsidRPr="007036C6" w:rsidRDefault="00675E93" w:rsidP="000C24D1">
      <w:pPr>
        <w:pStyle w:val="BodyText"/>
        <w:spacing w:after="60"/>
        <w:jc w:val="left"/>
        <w:rPr>
          <w:bCs/>
          <w:iCs/>
          <w:sz w:val="20"/>
          <w:lang w:val="en-US"/>
        </w:rPr>
      </w:pPr>
      <w:r w:rsidRPr="007036C6">
        <w:rPr>
          <w:bCs/>
          <w:iCs/>
          <w:sz w:val="20"/>
          <w:lang w:val="en-US"/>
        </w:rPr>
        <w:t xml:space="preserve">  e-mail:  </w:t>
      </w:r>
      <w:hyperlink r:id="rId11" w:history="1">
        <w:r w:rsidR="000C24D1" w:rsidRPr="007036C6">
          <w:rPr>
            <w:rStyle w:val="Hyperlink"/>
            <w:bCs/>
            <w:iCs/>
            <w:color w:val="auto"/>
            <w:sz w:val="20"/>
            <w:u w:val="none"/>
            <w:lang w:val="en-US"/>
          </w:rPr>
          <w:t>dhzanella@am.edu.ab</w:t>
        </w:r>
      </w:hyperlink>
    </w:p>
    <w:p w14:paraId="3D75EE6E" w14:textId="2413A35F" w:rsidR="000C24D1" w:rsidRPr="007036C6" w:rsidRDefault="000C24D1" w:rsidP="000C24D1">
      <w:pPr>
        <w:pStyle w:val="BodyText"/>
        <w:rPr>
          <w:bCs/>
          <w:iCs/>
          <w:sz w:val="20"/>
          <w:szCs w:val="24"/>
          <w:lang w:val="en-US"/>
        </w:rPr>
      </w:pPr>
      <w:r w:rsidRPr="007036C6">
        <w:rPr>
          <w:bCs/>
          <w:iCs/>
          <w:sz w:val="20"/>
          <w:szCs w:val="24"/>
          <w:vertAlign w:val="superscript"/>
          <w:lang w:val="en-US"/>
        </w:rPr>
        <w:t>3</w:t>
      </w:r>
      <w:r w:rsidRPr="007036C6">
        <w:rPr>
          <w:bCs/>
          <w:iCs/>
          <w:sz w:val="20"/>
          <w:szCs w:val="24"/>
          <w:lang w:val="en-US"/>
        </w:rPr>
        <w:t xml:space="preserve"> Çanakkale Onsekiz Mart University, Mimarlık ve Tasarım Fakültesi Terzioğlu Yerleşkesi 17100, Turkey</w:t>
      </w:r>
    </w:p>
    <w:p w14:paraId="7048CDBF" w14:textId="1BF96D3F" w:rsidR="000C24D1" w:rsidRPr="007036C6" w:rsidRDefault="000C24D1" w:rsidP="000C24D1">
      <w:pPr>
        <w:pStyle w:val="BodyText"/>
        <w:jc w:val="left"/>
        <w:rPr>
          <w:bCs/>
          <w:iCs/>
          <w:sz w:val="20"/>
          <w:lang w:val="en-US"/>
        </w:rPr>
      </w:pPr>
      <w:r w:rsidRPr="007036C6">
        <w:rPr>
          <w:noProof/>
          <w:sz w:val="20"/>
          <w:shd w:val="clear" w:color="auto" w:fill="FFFFFF"/>
          <w:lang w:val="en-US" w:eastAsia="en-US"/>
        </w:rPr>
        <w:drawing>
          <wp:inline distT="0" distB="0" distL="0" distR="0" wp14:anchorId="7F8CAAFC" wp14:editId="528883E0">
            <wp:extent cx="152400" cy="152400"/>
            <wp:effectExtent l="0" t="0" r="0" b="0"/>
            <wp:docPr id="6"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036C6">
        <w:rPr>
          <w:sz w:val="20"/>
          <w:lang w:val="en-US"/>
        </w:rPr>
        <w:t xml:space="preserve"> </w:t>
      </w:r>
      <w:hyperlink r:id="rId12" w:history="1">
        <w:r w:rsidR="008F6D3B" w:rsidRPr="007036C6">
          <w:rPr>
            <w:rStyle w:val="Hyperlink"/>
            <w:color w:val="auto"/>
            <w:sz w:val="20"/>
            <w:u w:val="none"/>
            <w:lang w:val="en-US"/>
          </w:rPr>
          <w:t>https://orcid.org/0000-0052-6474-793</w:t>
        </w:r>
      </w:hyperlink>
      <w:r w:rsidR="00FF3B1B" w:rsidRPr="007036C6">
        <w:rPr>
          <w:rStyle w:val="Hyperlink"/>
          <w:color w:val="auto"/>
          <w:sz w:val="20"/>
          <w:u w:val="none"/>
          <w:lang w:val="en-US"/>
        </w:rPr>
        <w:t>1</w:t>
      </w:r>
      <w:r w:rsidRPr="007036C6">
        <w:rPr>
          <w:sz w:val="20"/>
          <w:lang w:val="en-US"/>
        </w:rPr>
        <w:t xml:space="preserve">  </w:t>
      </w:r>
    </w:p>
    <w:p w14:paraId="340A05C8" w14:textId="603A3C4B" w:rsidR="000C24D1" w:rsidRPr="007036C6" w:rsidRDefault="000C24D1" w:rsidP="000C24D1">
      <w:pPr>
        <w:pStyle w:val="BodyText"/>
        <w:spacing w:after="60"/>
        <w:jc w:val="left"/>
        <w:rPr>
          <w:bCs/>
          <w:iCs/>
          <w:sz w:val="20"/>
          <w:lang w:val="en-US"/>
        </w:rPr>
      </w:pPr>
      <w:r w:rsidRPr="007036C6">
        <w:rPr>
          <w:bCs/>
          <w:iCs/>
          <w:sz w:val="20"/>
          <w:lang w:val="en-US"/>
        </w:rPr>
        <w:t xml:space="preserve">  e-mail:  </w:t>
      </w:r>
      <w:hyperlink r:id="rId13" w:history="1">
        <w:r w:rsidR="0093102E" w:rsidRPr="007036C6">
          <w:rPr>
            <w:rStyle w:val="Hyperlink"/>
            <w:bCs/>
            <w:iCs/>
            <w:color w:val="auto"/>
            <w:sz w:val="20"/>
            <w:u w:val="none"/>
            <w:lang w:val="en-US"/>
          </w:rPr>
          <w:t>ubuluc@gmail.com</w:t>
        </w:r>
      </w:hyperlink>
    </w:p>
    <w:p w14:paraId="09B47724" w14:textId="27EB9AED" w:rsidR="000C24D1" w:rsidRPr="007036C6" w:rsidRDefault="000C24D1" w:rsidP="000C24D1">
      <w:pPr>
        <w:pStyle w:val="BodyText"/>
        <w:rPr>
          <w:bCs/>
          <w:iCs/>
          <w:sz w:val="20"/>
          <w:szCs w:val="24"/>
          <w:lang w:val="en-US"/>
        </w:rPr>
      </w:pPr>
      <w:r w:rsidRPr="007036C6">
        <w:rPr>
          <w:bCs/>
          <w:iCs/>
          <w:sz w:val="20"/>
          <w:szCs w:val="24"/>
          <w:vertAlign w:val="superscript"/>
          <w:lang w:val="en-US"/>
        </w:rPr>
        <w:t>4</w:t>
      </w:r>
      <w:r w:rsidRPr="007036C6">
        <w:rPr>
          <w:bCs/>
          <w:iCs/>
          <w:sz w:val="20"/>
          <w:szCs w:val="24"/>
          <w:lang w:val="en-US"/>
        </w:rPr>
        <w:t xml:space="preserve"> </w:t>
      </w:r>
      <w:r w:rsidR="00507DA2" w:rsidRPr="007036C6">
        <w:rPr>
          <w:bCs/>
          <w:iCs/>
          <w:sz w:val="20"/>
          <w:szCs w:val="24"/>
          <w:lang w:val="en-US"/>
        </w:rPr>
        <w:t>University of Valencia</w:t>
      </w:r>
      <w:r w:rsidRPr="007036C6">
        <w:rPr>
          <w:bCs/>
          <w:iCs/>
          <w:sz w:val="20"/>
          <w:szCs w:val="24"/>
          <w:lang w:val="en-US"/>
        </w:rPr>
        <w:t xml:space="preserve">, </w:t>
      </w:r>
      <w:r w:rsidR="00507DA2" w:rsidRPr="007036C6">
        <w:rPr>
          <w:bCs/>
          <w:iCs/>
          <w:sz w:val="20"/>
          <w:szCs w:val="24"/>
          <w:lang w:val="en-US"/>
        </w:rPr>
        <w:t>13. Nivell 3 46010, Valencia</w:t>
      </w:r>
      <w:r w:rsidRPr="007036C6">
        <w:rPr>
          <w:bCs/>
          <w:iCs/>
          <w:sz w:val="20"/>
          <w:szCs w:val="24"/>
          <w:lang w:val="en-US"/>
        </w:rPr>
        <w:t xml:space="preserve">, </w:t>
      </w:r>
      <w:r w:rsidR="00507DA2" w:rsidRPr="007036C6">
        <w:rPr>
          <w:bCs/>
          <w:iCs/>
          <w:sz w:val="20"/>
          <w:szCs w:val="24"/>
          <w:lang w:val="en-US"/>
        </w:rPr>
        <w:t>Spain</w:t>
      </w:r>
    </w:p>
    <w:p w14:paraId="6B4B6562" w14:textId="3B5CBC49" w:rsidR="000C24D1" w:rsidRPr="007036C6" w:rsidRDefault="000C24D1" w:rsidP="000C24D1">
      <w:pPr>
        <w:pStyle w:val="BodyText"/>
        <w:jc w:val="left"/>
        <w:rPr>
          <w:bCs/>
          <w:iCs/>
          <w:sz w:val="20"/>
          <w:lang w:val="en-US"/>
        </w:rPr>
      </w:pPr>
      <w:r w:rsidRPr="007036C6">
        <w:rPr>
          <w:noProof/>
          <w:sz w:val="20"/>
          <w:shd w:val="clear" w:color="auto" w:fill="FFFFFF"/>
          <w:lang w:val="en-US" w:eastAsia="en-US"/>
        </w:rPr>
        <w:drawing>
          <wp:inline distT="0" distB="0" distL="0" distR="0" wp14:anchorId="53116F58" wp14:editId="5EE95DA1">
            <wp:extent cx="152400" cy="152400"/>
            <wp:effectExtent l="0" t="0" r="0" b="0"/>
            <wp:docPr id="7"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036C6">
        <w:rPr>
          <w:sz w:val="20"/>
          <w:lang w:val="en-US"/>
        </w:rPr>
        <w:t xml:space="preserve"> </w:t>
      </w:r>
      <w:hyperlink r:id="rId14" w:history="1">
        <w:r w:rsidR="0090532C" w:rsidRPr="007036C6">
          <w:rPr>
            <w:rStyle w:val="Hyperlink"/>
            <w:color w:val="auto"/>
            <w:sz w:val="20"/>
            <w:u w:val="none"/>
            <w:lang w:val="en-US"/>
          </w:rPr>
          <w:t>https://orcid.org/0000-0089-6484-7939</w:t>
        </w:r>
      </w:hyperlink>
      <w:r w:rsidRPr="007036C6">
        <w:rPr>
          <w:sz w:val="20"/>
          <w:lang w:val="en-US"/>
        </w:rPr>
        <w:t xml:space="preserve">  </w:t>
      </w:r>
    </w:p>
    <w:p w14:paraId="467D617A" w14:textId="17A31144" w:rsidR="000C24D1" w:rsidRPr="007036C6" w:rsidRDefault="000C24D1" w:rsidP="000C24D1">
      <w:pPr>
        <w:pStyle w:val="BodyText"/>
        <w:jc w:val="left"/>
        <w:rPr>
          <w:bCs/>
          <w:iCs/>
          <w:sz w:val="20"/>
          <w:lang w:val="en-US"/>
        </w:rPr>
      </w:pPr>
      <w:r w:rsidRPr="007036C6">
        <w:rPr>
          <w:bCs/>
          <w:iCs/>
          <w:sz w:val="20"/>
          <w:lang w:val="en-US"/>
        </w:rPr>
        <w:t xml:space="preserve">  e-mail:  </w:t>
      </w:r>
      <w:hyperlink r:id="rId15" w:history="1">
        <w:r w:rsidR="00BE38E9" w:rsidRPr="007036C6">
          <w:rPr>
            <w:rStyle w:val="Hyperlink"/>
            <w:bCs/>
            <w:iCs/>
            <w:color w:val="auto"/>
            <w:sz w:val="20"/>
            <w:u w:val="none"/>
            <w:lang w:val="en-US"/>
          </w:rPr>
          <w:t>xfuentes@uv.es</w:t>
        </w:r>
      </w:hyperlink>
      <w:r w:rsidR="00BE38E9" w:rsidRPr="007036C6">
        <w:rPr>
          <w:bCs/>
          <w:iCs/>
          <w:sz w:val="20"/>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778"/>
      </w:tblGrid>
      <w:tr w:rsidR="00093320" w:rsidRPr="007036C6" w14:paraId="0C2D122A" w14:textId="77777777" w:rsidTr="006B64D5">
        <w:tc>
          <w:tcPr>
            <w:tcW w:w="2943" w:type="dxa"/>
            <w:vAlign w:val="center"/>
          </w:tcPr>
          <w:p w14:paraId="26D1D7E8" w14:textId="4DC4313A" w:rsidR="00093320" w:rsidRPr="007036C6" w:rsidRDefault="00093320" w:rsidP="00E50F13">
            <w:pPr>
              <w:pStyle w:val="BodyText"/>
              <w:spacing w:before="360" w:after="220"/>
              <w:jc w:val="left"/>
              <w:rPr>
                <w:rFonts w:ascii="Arial Narrow" w:hAnsi="Arial Narrow" w:cstheme="minorHAnsi"/>
                <w:b/>
                <w:bCs/>
                <w:i/>
                <w:iCs/>
                <w:sz w:val="22"/>
                <w:szCs w:val="22"/>
                <w:lang w:val="en-US"/>
              </w:rPr>
            </w:pPr>
            <w:r w:rsidRPr="007036C6">
              <w:rPr>
                <w:rFonts w:ascii="Arial Narrow" w:hAnsi="Arial Narrow" w:cstheme="minorHAnsi"/>
                <w:b/>
                <w:bCs/>
                <w:i/>
                <w:iCs/>
                <w:sz w:val="22"/>
                <w:szCs w:val="22"/>
                <w:lang w:val="en-US"/>
              </w:rPr>
              <w:t>Origina</w:t>
            </w:r>
            <w:r w:rsidR="00993B8F" w:rsidRPr="007036C6">
              <w:rPr>
                <w:rFonts w:ascii="Arial Narrow" w:hAnsi="Arial Narrow" w:cstheme="minorHAnsi"/>
                <w:b/>
                <w:bCs/>
                <w:i/>
                <w:iCs/>
                <w:sz w:val="22"/>
                <w:szCs w:val="22"/>
                <w:lang w:val="en-US"/>
              </w:rPr>
              <w:t>l</w:t>
            </w:r>
            <w:r w:rsidRPr="007036C6">
              <w:rPr>
                <w:rFonts w:ascii="Arial Narrow" w:hAnsi="Arial Narrow" w:cstheme="minorHAnsi"/>
                <w:b/>
                <w:bCs/>
                <w:i/>
                <w:iCs/>
                <w:sz w:val="22"/>
                <w:szCs w:val="22"/>
                <w:lang w:val="en-US"/>
              </w:rPr>
              <w:t xml:space="preserve"> </w:t>
            </w:r>
            <w:r w:rsidR="007022FA" w:rsidRPr="007036C6">
              <w:rPr>
                <w:rFonts w:ascii="Arial Narrow" w:hAnsi="Arial Narrow" w:cstheme="minorHAnsi"/>
                <w:b/>
                <w:bCs/>
                <w:i/>
                <w:iCs/>
                <w:sz w:val="22"/>
                <w:szCs w:val="22"/>
                <w:lang w:val="en-US"/>
              </w:rPr>
              <w:t xml:space="preserve">research </w:t>
            </w:r>
            <w:r w:rsidRPr="007036C6">
              <w:rPr>
                <w:rFonts w:ascii="Arial Narrow" w:hAnsi="Arial Narrow" w:cstheme="minorHAnsi"/>
                <w:b/>
                <w:bCs/>
                <w:i/>
                <w:iCs/>
                <w:sz w:val="22"/>
                <w:szCs w:val="22"/>
                <w:lang w:val="en-US"/>
              </w:rPr>
              <w:t>paper</w:t>
            </w:r>
            <w:r w:rsidR="002526F3" w:rsidRPr="007036C6">
              <w:rPr>
                <w:rFonts w:ascii="Arial Narrow" w:hAnsi="Arial Narrow" w:cstheme="minorHAnsi"/>
                <w:b/>
                <w:bCs/>
                <w:i/>
                <w:iCs/>
                <w:sz w:val="22"/>
                <w:szCs w:val="22"/>
                <w:lang w:val="en-US"/>
              </w:rPr>
              <w:t xml:space="preserve"> /</w:t>
            </w:r>
          </w:p>
          <w:p w14:paraId="7AA1689D" w14:textId="56560D92" w:rsidR="002526F3" w:rsidRPr="007036C6" w:rsidRDefault="00EA606D" w:rsidP="00E50F13">
            <w:pPr>
              <w:pStyle w:val="BodyText"/>
              <w:spacing w:before="360" w:after="220"/>
              <w:jc w:val="left"/>
              <w:rPr>
                <w:rFonts w:ascii="Arial Narrow" w:hAnsi="Arial Narrow" w:cstheme="minorHAnsi"/>
                <w:b/>
                <w:bCs/>
                <w:i/>
                <w:iCs/>
                <w:sz w:val="22"/>
                <w:szCs w:val="22"/>
                <w:lang w:val="en-US"/>
              </w:rPr>
            </w:pPr>
            <w:r w:rsidRPr="007036C6">
              <w:rPr>
                <w:rFonts w:ascii="Arial Narrow" w:hAnsi="Arial Narrow" w:cstheme="minorHAnsi"/>
                <w:b/>
                <w:bCs/>
                <w:i/>
                <w:iCs/>
                <w:sz w:val="22"/>
                <w:szCs w:val="22"/>
                <w:lang w:val="en-US"/>
              </w:rPr>
              <w:t>Review</w:t>
            </w:r>
            <w:r w:rsidR="002526F3" w:rsidRPr="007036C6">
              <w:rPr>
                <w:rFonts w:ascii="Arial Narrow" w:hAnsi="Arial Narrow" w:cstheme="minorHAnsi"/>
                <w:b/>
                <w:bCs/>
                <w:i/>
                <w:iCs/>
                <w:sz w:val="22"/>
                <w:szCs w:val="22"/>
                <w:lang w:val="en-US"/>
              </w:rPr>
              <w:t xml:space="preserve"> paper </w:t>
            </w:r>
            <w:r w:rsidR="002526F3" w:rsidRPr="007036C6">
              <w:rPr>
                <w:rFonts w:ascii="Arial Narrow" w:hAnsi="Arial Narrow" w:cstheme="minorHAnsi"/>
                <w:b/>
                <w:bCs/>
                <w:i/>
                <w:iCs/>
                <w:color w:val="FF0000"/>
                <w:sz w:val="22"/>
                <w:szCs w:val="22"/>
                <w:lang w:val="en-US"/>
              </w:rPr>
              <w:t>(</w:t>
            </w:r>
            <w:r w:rsidR="008E04CA" w:rsidRPr="007036C6">
              <w:rPr>
                <w:rFonts w:ascii="Arial Narrow" w:hAnsi="Arial Narrow" w:cstheme="minorHAnsi"/>
                <w:b/>
                <w:bCs/>
                <w:i/>
                <w:iCs/>
                <w:color w:val="FF0000"/>
                <w:sz w:val="22"/>
                <w:szCs w:val="22"/>
                <w:lang w:val="en-US"/>
              </w:rPr>
              <w:t>Please c</w:t>
            </w:r>
            <w:r w:rsidR="002526F3" w:rsidRPr="007036C6">
              <w:rPr>
                <w:rFonts w:ascii="Arial Narrow" w:hAnsi="Arial Narrow" w:cstheme="minorHAnsi"/>
                <w:b/>
                <w:bCs/>
                <w:i/>
                <w:iCs/>
                <w:color w:val="FF0000"/>
                <w:sz w:val="22"/>
                <w:szCs w:val="22"/>
                <w:lang w:val="en-US"/>
              </w:rPr>
              <w:t>hoose</w:t>
            </w:r>
            <w:r w:rsidR="005B2DDC" w:rsidRPr="007036C6">
              <w:rPr>
                <w:rFonts w:ascii="Arial Narrow" w:hAnsi="Arial Narrow" w:cstheme="minorHAnsi"/>
                <w:b/>
                <w:bCs/>
                <w:i/>
                <w:iCs/>
                <w:color w:val="FF0000"/>
                <w:sz w:val="22"/>
                <w:szCs w:val="22"/>
                <w:lang w:val="en-US"/>
              </w:rPr>
              <w:t xml:space="preserve"> one</w:t>
            </w:r>
            <w:r w:rsidR="002526F3" w:rsidRPr="007036C6">
              <w:rPr>
                <w:rFonts w:ascii="Arial Narrow" w:hAnsi="Arial Narrow" w:cstheme="minorHAnsi"/>
                <w:b/>
                <w:bCs/>
                <w:i/>
                <w:iCs/>
                <w:color w:val="FF0000"/>
                <w:sz w:val="22"/>
                <w:szCs w:val="22"/>
                <w:lang w:val="en-US"/>
              </w:rPr>
              <w:t>)</w:t>
            </w:r>
          </w:p>
          <w:p w14:paraId="32341C0F" w14:textId="77777777" w:rsidR="00E90A76" w:rsidRPr="007036C6" w:rsidRDefault="00054566" w:rsidP="00E50F13">
            <w:pPr>
              <w:pStyle w:val="BodyText"/>
              <w:spacing w:before="600" w:line="360" w:lineRule="auto"/>
              <w:jc w:val="left"/>
              <w:rPr>
                <w:rFonts w:ascii="Arial Narrow" w:hAnsi="Arial Narrow" w:cstheme="minorHAnsi"/>
                <w:sz w:val="16"/>
                <w:szCs w:val="16"/>
                <w:lang w:val="en-US"/>
              </w:rPr>
            </w:pPr>
            <w:r w:rsidRPr="007036C6">
              <w:rPr>
                <w:rFonts w:ascii="Arial Narrow" w:hAnsi="Arial Narrow" w:cstheme="minorHAnsi"/>
                <w:b/>
                <w:sz w:val="16"/>
                <w:szCs w:val="16"/>
                <w:lang w:val="en-US"/>
              </w:rPr>
              <w:t>Citation</w:t>
            </w:r>
            <w:r w:rsidRPr="007036C6">
              <w:rPr>
                <w:rFonts w:ascii="Arial Narrow" w:hAnsi="Arial Narrow" w:cstheme="minorHAnsi"/>
                <w:sz w:val="16"/>
                <w:szCs w:val="16"/>
                <w:lang w:val="en-US"/>
              </w:rPr>
              <w:t xml:space="preserve">: </w:t>
            </w:r>
          </w:p>
          <w:p w14:paraId="4A0B2D5D" w14:textId="772C8ECE" w:rsidR="00093320" w:rsidRPr="007036C6" w:rsidRDefault="00644BC9" w:rsidP="00E50F13">
            <w:pPr>
              <w:pStyle w:val="BodyText"/>
              <w:spacing w:after="220" w:line="360" w:lineRule="auto"/>
              <w:jc w:val="left"/>
              <w:rPr>
                <w:rFonts w:ascii="Arial Narrow" w:hAnsi="Arial Narrow" w:cstheme="minorHAnsi"/>
                <w:sz w:val="16"/>
                <w:szCs w:val="16"/>
                <w:lang w:val="en-US"/>
              </w:rPr>
            </w:pPr>
            <w:r w:rsidRPr="007036C6">
              <w:rPr>
                <w:rFonts w:ascii="Arial Narrow" w:hAnsi="Arial Narrow" w:cstheme="minorHAnsi"/>
                <w:iCs/>
                <w:sz w:val="16"/>
                <w:szCs w:val="16"/>
                <w:lang w:val="en-US"/>
              </w:rPr>
              <w:t>Heyedd</w:t>
            </w:r>
            <w:r w:rsidR="00054566" w:rsidRPr="007036C6">
              <w:rPr>
                <w:rFonts w:ascii="Arial Narrow" w:hAnsi="Arial Narrow" w:cstheme="minorHAnsi"/>
                <w:iCs/>
                <w:sz w:val="16"/>
                <w:szCs w:val="16"/>
                <w:lang w:val="en-US"/>
              </w:rPr>
              <w:t>, E.O.</w:t>
            </w:r>
            <w:r w:rsidR="00DA325A" w:rsidRPr="007036C6">
              <w:rPr>
                <w:rFonts w:ascii="Arial Narrow" w:hAnsi="Arial Narrow" w:cstheme="minorHAnsi"/>
                <w:iCs/>
                <w:sz w:val="16"/>
                <w:szCs w:val="16"/>
                <w:lang w:val="en-US"/>
              </w:rPr>
              <w:t>, Buluç, U., Fuentes, X.</w:t>
            </w:r>
            <w:r w:rsidR="00054566" w:rsidRPr="007036C6">
              <w:rPr>
                <w:rFonts w:ascii="Arial Narrow" w:hAnsi="Arial Narrow" w:cstheme="minorHAnsi"/>
                <w:iCs/>
                <w:sz w:val="16"/>
                <w:szCs w:val="16"/>
                <w:lang w:val="en-US"/>
              </w:rPr>
              <w:t xml:space="preserve"> and </w:t>
            </w:r>
            <w:r w:rsidRPr="007036C6">
              <w:rPr>
                <w:rFonts w:ascii="Arial Narrow" w:hAnsi="Arial Narrow" w:cstheme="minorHAnsi"/>
                <w:iCs/>
                <w:sz w:val="16"/>
                <w:szCs w:val="16"/>
                <w:lang w:val="en-US"/>
              </w:rPr>
              <w:t>Zanella, D.H</w:t>
            </w:r>
            <w:r w:rsidR="00054566" w:rsidRPr="007036C6">
              <w:rPr>
                <w:rFonts w:ascii="Arial Narrow" w:hAnsi="Arial Narrow" w:cstheme="minorHAnsi"/>
                <w:iCs/>
                <w:sz w:val="16"/>
                <w:szCs w:val="16"/>
                <w:lang w:val="en-US"/>
              </w:rPr>
              <w:t>. (202</w:t>
            </w:r>
            <w:r w:rsidR="009D0C6F" w:rsidRPr="007036C6">
              <w:rPr>
                <w:rFonts w:ascii="Arial Narrow" w:hAnsi="Arial Narrow" w:cstheme="minorHAnsi"/>
                <w:iCs/>
                <w:sz w:val="16"/>
                <w:szCs w:val="16"/>
                <w:lang w:val="en-US"/>
              </w:rPr>
              <w:t>3</w:t>
            </w:r>
            <w:r w:rsidR="00054566" w:rsidRPr="007036C6">
              <w:rPr>
                <w:rFonts w:ascii="Arial Narrow" w:hAnsi="Arial Narrow" w:cstheme="minorHAnsi"/>
                <w:iCs/>
                <w:sz w:val="16"/>
                <w:szCs w:val="16"/>
                <w:lang w:val="en-US"/>
              </w:rPr>
              <w:t xml:space="preserve">). </w:t>
            </w:r>
            <w:r w:rsidR="00EA2DD0" w:rsidRPr="007036C6">
              <w:rPr>
                <w:rFonts w:ascii="Arial Narrow" w:hAnsi="Arial Narrow" w:cstheme="minorHAnsi"/>
                <w:sz w:val="16"/>
                <w:szCs w:val="16"/>
                <w:lang w:val="en-US"/>
              </w:rPr>
              <w:t xml:space="preserve">Public Transport Service and Passengers’ Satisfaction in </w:t>
            </w:r>
            <w:r w:rsidR="001F2485" w:rsidRPr="007036C6">
              <w:rPr>
                <w:rFonts w:ascii="Arial Narrow" w:hAnsi="Arial Narrow" w:cstheme="minorHAnsi"/>
                <w:sz w:val="16"/>
                <w:szCs w:val="16"/>
                <w:lang w:val="en-US"/>
              </w:rPr>
              <w:t>Madrid</w:t>
            </w:r>
            <w:r w:rsidR="00EA2DD0" w:rsidRPr="007036C6">
              <w:rPr>
                <w:rFonts w:ascii="Arial Narrow" w:hAnsi="Arial Narrow" w:cstheme="minorHAnsi"/>
                <w:sz w:val="16"/>
                <w:szCs w:val="16"/>
                <w:lang w:val="en-US"/>
              </w:rPr>
              <w:t>: An Empirical Investigation</w:t>
            </w:r>
            <w:r w:rsidR="00054566" w:rsidRPr="007036C6">
              <w:rPr>
                <w:rFonts w:ascii="Arial Narrow" w:hAnsi="Arial Narrow" w:cstheme="minorHAnsi"/>
                <w:sz w:val="16"/>
                <w:szCs w:val="16"/>
                <w:lang w:val="en-US"/>
              </w:rPr>
              <w:t xml:space="preserve">. </w:t>
            </w:r>
            <w:r w:rsidR="006543FC" w:rsidRPr="007036C6">
              <w:rPr>
                <w:rFonts w:ascii="Arial Narrow" w:hAnsi="Arial Narrow" w:cstheme="minorHAnsi"/>
                <w:i/>
                <w:sz w:val="16"/>
                <w:szCs w:val="16"/>
                <w:lang w:val="en-US"/>
              </w:rPr>
              <w:t>Economic Insights – Trends and Challenges</w:t>
            </w:r>
            <w:r w:rsidR="008F3ABA" w:rsidRPr="007036C6">
              <w:rPr>
                <w:rFonts w:ascii="Arial Narrow" w:hAnsi="Arial Narrow" w:cstheme="minorHAnsi"/>
                <w:i/>
                <w:sz w:val="16"/>
                <w:szCs w:val="16"/>
                <w:lang w:val="en-US"/>
              </w:rPr>
              <w:t xml:space="preserve">, </w:t>
            </w:r>
            <w:r w:rsidR="00DB58EF" w:rsidRPr="007036C6">
              <w:rPr>
                <w:rFonts w:ascii="Arial Narrow" w:hAnsi="Arial Narrow" w:cstheme="minorHAnsi"/>
                <w:i/>
                <w:sz w:val="16"/>
                <w:szCs w:val="16"/>
                <w:lang w:val="en-US"/>
              </w:rPr>
              <w:t>1</w:t>
            </w:r>
            <w:r w:rsidR="003E136B" w:rsidRPr="007036C6">
              <w:rPr>
                <w:rFonts w:ascii="Arial Narrow" w:hAnsi="Arial Narrow" w:cstheme="minorHAnsi"/>
                <w:i/>
                <w:sz w:val="16"/>
                <w:szCs w:val="16"/>
                <w:lang w:val="en-US"/>
              </w:rPr>
              <w:t>3</w:t>
            </w:r>
            <w:r w:rsidR="00DB58EF" w:rsidRPr="007036C6">
              <w:rPr>
                <w:rFonts w:ascii="Arial Narrow" w:hAnsi="Arial Narrow" w:cstheme="minorHAnsi"/>
                <w:sz w:val="16"/>
                <w:szCs w:val="16"/>
                <w:lang w:val="en-US"/>
              </w:rPr>
              <w:t>(</w:t>
            </w:r>
            <w:r w:rsidR="000E7E18" w:rsidRPr="007036C6">
              <w:rPr>
                <w:rFonts w:ascii="Arial Narrow" w:hAnsi="Arial Narrow" w:cstheme="minorHAnsi"/>
                <w:sz w:val="16"/>
                <w:szCs w:val="16"/>
                <w:lang w:val="en-US"/>
              </w:rPr>
              <w:t>1</w:t>
            </w:r>
            <w:r w:rsidR="00DB58EF" w:rsidRPr="007036C6">
              <w:rPr>
                <w:rFonts w:ascii="Arial Narrow" w:hAnsi="Arial Narrow" w:cstheme="minorHAnsi"/>
                <w:sz w:val="16"/>
                <w:szCs w:val="16"/>
                <w:lang w:val="en-US"/>
              </w:rPr>
              <w:t>)</w:t>
            </w:r>
            <w:r w:rsidR="000E7E18" w:rsidRPr="007036C6">
              <w:rPr>
                <w:rFonts w:ascii="Arial Narrow" w:hAnsi="Arial Narrow" w:cstheme="minorHAnsi"/>
                <w:sz w:val="16"/>
                <w:szCs w:val="16"/>
                <w:lang w:val="en-US"/>
              </w:rPr>
              <w:t>,</w:t>
            </w:r>
            <w:r w:rsidR="000E7E18" w:rsidRPr="007036C6">
              <w:rPr>
                <w:rFonts w:ascii="Arial Narrow" w:hAnsi="Arial Narrow" w:cstheme="minorHAnsi"/>
                <w:i/>
                <w:sz w:val="16"/>
                <w:szCs w:val="16"/>
                <w:lang w:val="en-US"/>
              </w:rPr>
              <w:t xml:space="preserve"> </w:t>
            </w:r>
            <w:r w:rsidR="00A70499" w:rsidRPr="007036C6">
              <w:rPr>
                <w:rFonts w:ascii="Arial Narrow" w:hAnsi="Arial Narrow" w:cstheme="minorHAnsi"/>
                <w:sz w:val="16"/>
                <w:szCs w:val="16"/>
                <w:lang w:val="en-US"/>
              </w:rPr>
              <w:t>1-2</w:t>
            </w:r>
            <w:r w:rsidR="0065121D" w:rsidRPr="007036C6">
              <w:rPr>
                <w:rFonts w:ascii="Arial Narrow" w:hAnsi="Arial Narrow" w:cstheme="minorHAnsi"/>
                <w:sz w:val="16"/>
                <w:szCs w:val="16"/>
                <w:lang w:val="en-US"/>
              </w:rPr>
              <w:t xml:space="preserve">0. </w:t>
            </w:r>
            <w:r w:rsidR="00841199" w:rsidRPr="007036C6">
              <w:rPr>
                <w:rFonts w:ascii="Arial Narrow" w:hAnsi="Arial Narrow" w:cstheme="minorHAnsi"/>
                <w:color w:val="222222"/>
                <w:sz w:val="16"/>
                <w:szCs w:val="16"/>
                <w:shd w:val="clear" w:color="auto" w:fill="FFFFFF"/>
                <w:lang w:val="en-US"/>
              </w:rPr>
              <w:t>https://doi.org/</w:t>
            </w:r>
            <w:r w:rsidR="00841199" w:rsidRPr="007036C6">
              <w:rPr>
                <w:rFonts w:ascii="Arial Narrow" w:hAnsi="Arial Narrow" w:cstheme="minorHAnsi"/>
                <w:color w:val="222222"/>
                <w:sz w:val="16"/>
                <w:szCs w:val="16"/>
                <w:lang w:val="en-US"/>
              </w:rPr>
              <w:t>10.51865/EITC.202</w:t>
            </w:r>
            <w:r w:rsidR="009D0C6F" w:rsidRPr="007036C6">
              <w:rPr>
                <w:rFonts w:ascii="Arial Narrow" w:hAnsi="Arial Narrow" w:cstheme="minorHAnsi"/>
                <w:color w:val="222222"/>
                <w:sz w:val="16"/>
                <w:szCs w:val="16"/>
                <w:lang w:val="en-US"/>
              </w:rPr>
              <w:t>3</w:t>
            </w:r>
            <w:r w:rsidR="00841199" w:rsidRPr="007036C6">
              <w:rPr>
                <w:rFonts w:ascii="Arial Narrow" w:hAnsi="Arial Narrow" w:cstheme="minorHAnsi"/>
                <w:color w:val="222222"/>
                <w:sz w:val="16"/>
                <w:szCs w:val="16"/>
                <w:lang w:val="en-US"/>
              </w:rPr>
              <w:t>.03.03</w:t>
            </w:r>
          </w:p>
          <w:p w14:paraId="39652EEC" w14:textId="77777777" w:rsidR="00054566" w:rsidRPr="007036C6" w:rsidRDefault="00054566" w:rsidP="00E50F13">
            <w:pPr>
              <w:pStyle w:val="BodyText"/>
              <w:spacing w:before="600" w:after="220"/>
              <w:jc w:val="left"/>
              <w:rPr>
                <w:rFonts w:ascii="Arial Narrow" w:hAnsi="Arial Narrow" w:cstheme="minorHAnsi"/>
                <w:b/>
                <w:bCs/>
                <w:iCs/>
                <w:sz w:val="22"/>
                <w:szCs w:val="28"/>
                <w:lang w:val="en-US"/>
              </w:rPr>
            </w:pPr>
            <w:r w:rsidRPr="007036C6">
              <w:rPr>
                <w:rFonts w:ascii="Arial Narrow" w:hAnsi="Arial Narrow" w:cstheme="minorHAnsi"/>
                <w:noProof/>
                <w:lang w:val="en-US" w:eastAsia="en-US"/>
              </w:rPr>
              <w:drawing>
                <wp:inline distT="0" distB="0" distL="0" distR="0" wp14:anchorId="2B03B7CC" wp14:editId="136A565A">
                  <wp:extent cx="838200" cy="295275"/>
                  <wp:effectExtent l="0" t="0" r="0" b="9525"/>
                  <wp:docPr id="3" name="Picture 3" descr="Creative Commons Licens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6B3BB327" w14:textId="6EBDD5D4" w:rsidR="006543FC" w:rsidRPr="007036C6" w:rsidRDefault="006543FC" w:rsidP="00E50F13">
            <w:pPr>
              <w:pStyle w:val="BodyText"/>
              <w:spacing w:before="120" w:after="220"/>
              <w:jc w:val="left"/>
              <w:rPr>
                <w:rFonts w:ascii="Arial Narrow" w:hAnsi="Arial Narrow" w:cstheme="minorHAnsi"/>
                <w:b/>
                <w:bCs/>
                <w:iCs/>
                <w:sz w:val="22"/>
                <w:szCs w:val="28"/>
                <w:lang w:val="en-US"/>
              </w:rPr>
            </w:pPr>
            <w:r w:rsidRPr="007036C6">
              <w:rPr>
                <w:rFonts w:ascii="Arial Narrow" w:hAnsi="Arial Narrow" w:cstheme="minorHAnsi"/>
                <w:sz w:val="16"/>
                <w:lang w:val="en-US"/>
              </w:rPr>
              <w:t>Copyright: © 2023 by the authors</w:t>
            </w:r>
          </w:p>
        </w:tc>
        <w:tc>
          <w:tcPr>
            <w:tcW w:w="5778" w:type="dxa"/>
          </w:tcPr>
          <w:p w14:paraId="6C54CC43" w14:textId="34FCE705" w:rsidR="00093320" w:rsidRPr="007036C6" w:rsidRDefault="00093320" w:rsidP="007800B2">
            <w:pPr>
              <w:pStyle w:val="BodyText"/>
              <w:spacing w:before="360"/>
              <w:rPr>
                <w:i/>
                <w:color w:val="000000"/>
                <w:sz w:val="18"/>
                <w:lang w:val="en-US"/>
              </w:rPr>
            </w:pPr>
            <w:r w:rsidRPr="007036C6">
              <w:rPr>
                <w:b/>
                <w:bCs/>
                <w:iCs/>
                <w:sz w:val="18"/>
                <w:szCs w:val="28"/>
                <w:lang w:val="en-US"/>
              </w:rPr>
              <w:t>Abstract</w:t>
            </w:r>
            <w:r w:rsidR="00EE1B69" w:rsidRPr="007036C6">
              <w:rPr>
                <w:b/>
                <w:bCs/>
                <w:iCs/>
                <w:sz w:val="24"/>
                <w:szCs w:val="28"/>
                <w:lang w:val="en-US"/>
              </w:rPr>
              <w:t xml:space="preserve">: </w:t>
            </w:r>
            <w:r w:rsidRPr="007036C6">
              <w:rPr>
                <w:i/>
                <w:sz w:val="18"/>
                <w:lang w:val="en-US"/>
              </w:rPr>
              <w:t xml:space="preserve">This study aimed at the effects of Public </w:t>
            </w:r>
            <w:r w:rsidR="004A324C" w:rsidRPr="007036C6">
              <w:rPr>
                <w:i/>
                <w:sz w:val="18"/>
                <w:lang w:val="en-US"/>
              </w:rPr>
              <w:t>Transport</w:t>
            </w:r>
            <w:r w:rsidRPr="007036C6">
              <w:rPr>
                <w:i/>
                <w:sz w:val="18"/>
                <w:lang w:val="en-US"/>
              </w:rPr>
              <w:t xml:space="preserve"> Service Quality on passengers’ satisfaction in </w:t>
            </w:r>
            <w:r w:rsidR="001F2485" w:rsidRPr="007036C6">
              <w:rPr>
                <w:i/>
                <w:sz w:val="18"/>
                <w:lang w:val="en-US"/>
              </w:rPr>
              <w:t>Madrid</w:t>
            </w:r>
            <w:r w:rsidRPr="007036C6">
              <w:rPr>
                <w:i/>
                <w:sz w:val="18"/>
                <w:lang w:val="en-US"/>
              </w:rPr>
              <w:t>. The study examined the effect of perceived unreliability of transportation service, service frequency</w:t>
            </w:r>
            <w:r w:rsidRPr="007036C6">
              <w:rPr>
                <w:rFonts w:eastAsia="Calibri"/>
                <w:i/>
                <w:sz w:val="18"/>
                <w:lang w:val="en-US"/>
              </w:rPr>
              <w:t>,</w:t>
            </w:r>
            <w:r w:rsidRPr="007036C6">
              <w:rPr>
                <w:i/>
                <w:sz w:val="18"/>
                <w:lang w:val="en-US"/>
              </w:rPr>
              <w:t xml:space="preserve"> f</w:t>
            </w:r>
            <w:r w:rsidRPr="007036C6">
              <w:rPr>
                <w:rFonts w:eastAsia="Calibri"/>
                <w:i/>
                <w:sz w:val="18"/>
                <w:lang w:val="en-US"/>
              </w:rPr>
              <w:t>are level,</w:t>
            </w:r>
            <w:r w:rsidRPr="007036C6">
              <w:rPr>
                <w:i/>
                <w:sz w:val="18"/>
                <w:lang w:val="en-US"/>
              </w:rPr>
              <w:t xml:space="preserve"> comfortability</w:t>
            </w:r>
            <w:r w:rsidRPr="007036C6">
              <w:rPr>
                <w:rFonts w:eastAsia="Calibri"/>
                <w:i/>
                <w:sz w:val="18"/>
                <w:lang w:val="en-US"/>
              </w:rPr>
              <w:t xml:space="preserve"> and</w:t>
            </w:r>
            <w:r w:rsidRPr="007036C6">
              <w:rPr>
                <w:i/>
                <w:sz w:val="18"/>
                <w:lang w:val="en-US"/>
              </w:rPr>
              <w:t xml:space="preserve"> perceived safety uncertainty on the perceived satisfaction of passengers in </w:t>
            </w:r>
            <w:r w:rsidR="001F2485" w:rsidRPr="007036C6">
              <w:rPr>
                <w:i/>
                <w:sz w:val="18"/>
                <w:lang w:val="en-US"/>
              </w:rPr>
              <w:t>Madrid</w:t>
            </w:r>
            <w:r w:rsidRPr="007036C6">
              <w:rPr>
                <w:i/>
                <w:sz w:val="18"/>
                <w:lang w:val="en-US"/>
              </w:rPr>
              <w:t xml:space="preserve">. </w:t>
            </w:r>
            <w:r w:rsidRPr="007036C6">
              <w:rPr>
                <w:i/>
                <w:sz w:val="18"/>
                <w:lang w:val="en-US" w:eastAsia="en-GB"/>
              </w:rPr>
              <w:t xml:space="preserve">The </w:t>
            </w:r>
            <w:r w:rsidRPr="007036C6">
              <w:rPr>
                <w:i/>
                <w:sz w:val="18"/>
                <w:lang w:val="en-US"/>
              </w:rPr>
              <w:t xml:space="preserve">sample size of the study was 362. Data were analyzed using descriptive and Binary Logit Regression Model. Findings show that perceived unreliability of transportation service, fare level and comfortability significantly relate with the perceived satisfaction of passengers in </w:t>
            </w:r>
            <w:r w:rsidR="001F2485" w:rsidRPr="007036C6">
              <w:rPr>
                <w:i/>
                <w:sz w:val="18"/>
                <w:lang w:val="en-US"/>
              </w:rPr>
              <w:t>Madrid</w:t>
            </w:r>
            <w:r w:rsidRPr="007036C6">
              <w:rPr>
                <w:i/>
                <w:color w:val="000000"/>
                <w:sz w:val="18"/>
                <w:lang w:val="en-US"/>
              </w:rPr>
              <w:t xml:space="preserve">. </w:t>
            </w:r>
            <w:r w:rsidRPr="007036C6">
              <w:rPr>
                <w:i/>
                <w:sz w:val="18"/>
                <w:lang w:val="en-US"/>
              </w:rPr>
              <w:t xml:space="preserve">The study concluded that there are some </w:t>
            </w:r>
            <w:r w:rsidR="0064602A" w:rsidRPr="007036C6">
              <w:rPr>
                <w:i/>
                <w:sz w:val="18"/>
                <w:lang w:val="en-US"/>
              </w:rPr>
              <w:t xml:space="preserve">important </w:t>
            </w:r>
            <w:r w:rsidRPr="007036C6">
              <w:rPr>
                <w:i/>
                <w:sz w:val="18"/>
                <w:lang w:val="en-US"/>
              </w:rPr>
              <w:t xml:space="preserve">variables that the users of Public </w:t>
            </w:r>
            <w:r w:rsidR="004A324C" w:rsidRPr="007036C6">
              <w:rPr>
                <w:i/>
                <w:sz w:val="18"/>
                <w:lang w:val="en-US"/>
              </w:rPr>
              <w:t>Transport</w:t>
            </w:r>
            <w:r w:rsidRPr="007036C6">
              <w:rPr>
                <w:i/>
                <w:sz w:val="18"/>
                <w:lang w:val="en-US"/>
              </w:rPr>
              <w:t xml:space="preserve"> Service are considering for their satisfaction. The study recommended that drivers/transportation companies should ensure reliability of transportation service, moderate fare level and boost comfortability in order to achieve the satisfaction of passengers in </w:t>
            </w:r>
            <w:r w:rsidR="001F2485" w:rsidRPr="007036C6">
              <w:rPr>
                <w:i/>
                <w:sz w:val="18"/>
                <w:lang w:val="en-US"/>
              </w:rPr>
              <w:t>Madrid</w:t>
            </w:r>
            <w:r w:rsidRPr="007036C6">
              <w:rPr>
                <w:i/>
                <w:color w:val="000000"/>
                <w:sz w:val="18"/>
                <w:lang w:val="en-US"/>
              </w:rPr>
              <w:t xml:space="preserve">. </w:t>
            </w:r>
            <w:r w:rsidR="004F62E5" w:rsidRPr="007036C6">
              <w:rPr>
                <w:i/>
                <w:color w:val="000000"/>
                <w:sz w:val="18"/>
                <w:lang w:val="en-US"/>
              </w:rPr>
              <w:t xml:space="preserve">A relevant question then is what explains the low satisfaction among public transport users, and what can be done to make public transport commuting more satisfying. </w:t>
            </w:r>
            <w:r w:rsidR="00E934A8" w:rsidRPr="007036C6">
              <w:rPr>
                <w:i/>
                <w:color w:val="000000"/>
                <w:sz w:val="18"/>
                <w:lang w:val="en-US"/>
              </w:rPr>
              <w:t>Parameters</w:t>
            </w:r>
            <w:r w:rsidR="004F62E5" w:rsidRPr="007036C6">
              <w:rPr>
                <w:i/>
                <w:color w:val="000000"/>
                <w:sz w:val="18"/>
                <w:lang w:val="en-US"/>
              </w:rPr>
              <w:t xml:space="preserve"> included in the analysis are distance to public transport stations, whether commuters have to transfer modes along the way and waiting time while transferring. </w:t>
            </w:r>
            <w:r w:rsidR="002669E2" w:rsidRPr="007036C6">
              <w:rPr>
                <w:i/>
                <w:color w:val="000000"/>
                <w:sz w:val="18"/>
                <w:lang w:val="en-US"/>
              </w:rPr>
              <w:t>The findings in this study are useful for policy makers planning public transport services. Both to make the service more satisfying for the current users, and also in order to make public transport an attractive alternative to car use</w:t>
            </w:r>
            <w:r w:rsidR="00D3097F" w:rsidRPr="007036C6">
              <w:rPr>
                <w:i/>
                <w:color w:val="000000"/>
                <w:sz w:val="18"/>
                <w:lang w:val="en-US"/>
              </w:rPr>
              <w:t>. This study contributes to the literature by exploring how the different characteristics of public transport journeys influence people's satisfaction with their commutes</w:t>
            </w:r>
            <w:r w:rsidR="00AE1602" w:rsidRPr="007036C6">
              <w:rPr>
                <w:i/>
                <w:color w:val="000000"/>
                <w:sz w:val="18"/>
                <w:lang w:val="en-US"/>
              </w:rPr>
              <w:t xml:space="preserve"> and with other </w:t>
            </w:r>
            <w:r w:rsidR="00B16F6B" w:rsidRPr="007036C6">
              <w:rPr>
                <w:i/>
                <w:color w:val="000000"/>
                <w:sz w:val="18"/>
                <w:lang w:val="en-US"/>
              </w:rPr>
              <w:t>significant</w:t>
            </w:r>
            <w:r w:rsidR="0064602A" w:rsidRPr="007036C6">
              <w:rPr>
                <w:i/>
                <w:color w:val="000000"/>
                <w:sz w:val="18"/>
                <w:lang w:val="en-US"/>
              </w:rPr>
              <w:t xml:space="preserve"> </w:t>
            </w:r>
            <w:r w:rsidR="00AE1602" w:rsidRPr="007036C6">
              <w:rPr>
                <w:i/>
                <w:color w:val="000000"/>
                <w:sz w:val="18"/>
                <w:lang w:val="en-US"/>
              </w:rPr>
              <w:t>factors</w:t>
            </w:r>
            <w:r w:rsidR="002669E2" w:rsidRPr="007036C6">
              <w:rPr>
                <w:i/>
                <w:color w:val="000000"/>
                <w:sz w:val="18"/>
                <w:lang w:val="en-US"/>
              </w:rPr>
              <w:t xml:space="preserve">. </w:t>
            </w:r>
            <w:r w:rsidRPr="007036C6">
              <w:rPr>
                <w:i/>
                <w:color w:val="000000"/>
                <w:sz w:val="18"/>
                <w:lang w:val="en-US"/>
              </w:rPr>
              <w:t>(</w:t>
            </w:r>
            <w:r w:rsidR="00D53BD1" w:rsidRPr="007036C6">
              <w:rPr>
                <w:i/>
                <w:color w:val="FF0000"/>
                <w:sz w:val="18"/>
                <w:lang w:val="en-US"/>
              </w:rPr>
              <w:t xml:space="preserve">Between </w:t>
            </w:r>
            <w:r w:rsidR="007800B2">
              <w:rPr>
                <w:i/>
                <w:color w:val="FF0000"/>
                <w:sz w:val="18"/>
                <w:lang w:val="en-US"/>
              </w:rPr>
              <w:t>200</w:t>
            </w:r>
            <w:bookmarkStart w:id="0" w:name="_GoBack"/>
            <w:bookmarkEnd w:id="0"/>
            <w:r w:rsidR="00D53BD1" w:rsidRPr="007036C6">
              <w:rPr>
                <w:i/>
                <w:color w:val="FF0000"/>
                <w:sz w:val="18"/>
                <w:lang w:val="en-US"/>
              </w:rPr>
              <w:t xml:space="preserve"> and</w:t>
            </w:r>
            <w:r w:rsidRPr="007036C6">
              <w:rPr>
                <w:i/>
                <w:color w:val="FF0000"/>
                <w:sz w:val="18"/>
                <w:lang w:val="en-US"/>
              </w:rPr>
              <w:t xml:space="preserve"> 250 words</w:t>
            </w:r>
            <w:r w:rsidRPr="007036C6">
              <w:rPr>
                <w:i/>
                <w:color w:val="000000"/>
                <w:sz w:val="18"/>
                <w:lang w:val="en-US"/>
              </w:rPr>
              <w:t>)</w:t>
            </w:r>
          </w:p>
        </w:tc>
      </w:tr>
      <w:tr w:rsidR="00FE70DB" w:rsidRPr="007036C6" w14:paraId="6C5DA0B4" w14:textId="77777777" w:rsidTr="006B64D5">
        <w:tc>
          <w:tcPr>
            <w:tcW w:w="2943" w:type="dxa"/>
            <w:vAlign w:val="center"/>
          </w:tcPr>
          <w:p w14:paraId="4EDC9A0C" w14:textId="77777777" w:rsidR="00FE70DB" w:rsidRPr="007036C6" w:rsidRDefault="00FE70DB" w:rsidP="003E48E5">
            <w:pPr>
              <w:pStyle w:val="BodyText"/>
              <w:jc w:val="left"/>
              <w:rPr>
                <w:b/>
                <w:bCs/>
                <w:sz w:val="18"/>
                <w:szCs w:val="18"/>
                <w:lang w:val="en-US"/>
              </w:rPr>
            </w:pPr>
            <w:r w:rsidRPr="007036C6">
              <w:rPr>
                <w:b/>
                <w:bCs/>
                <w:sz w:val="18"/>
                <w:szCs w:val="18"/>
                <w:lang w:val="en-US"/>
              </w:rPr>
              <w:t xml:space="preserve">JEL Classification: </w:t>
            </w:r>
            <w:hyperlink r:id="rId18" w:history="1">
              <w:r w:rsidRPr="007036C6">
                <w:rPr>
                  <w:rStyle w:val="Hyperlink"/>
                  <w:b/>
                  <w:bCs/>
                  <w:i/>
                  <w:sz w:val="18"/>
                  <w:szCs w:val="18"/>
                  <w:lang w:val="en-US"/>
                </w:rPr>
                <w:t>Link</w:t>
              </w:r>
            </w:hyperlink>
          </w:p>
          <w:p w14:paraId="768B8A59" w14:textId="1ADADE4C" w:rsidR="00FE70DB" w:rsidRPr="007036C6" w:rsidRDefault="00FE70DB" w:rsidP="003E48E5">
            <w:pPr>
              <w:pStyle w:val="BodyText"/>
              <w:jc w:val="left"/>
              <w:rPr>
                <w:rFonts w:ascii="Arial Narrow" w:hAnsi="Arial Narrow" w:cstheme="minorHAnsi"/>
                <w:b/>
                <w:bCs/>
                <w:i/>
                <w:iCs/>
                <w:sz w:val="18"/>
                <w:szCs w:val="18"/>
                <w:lang w:val="en-US"/>
              </w:rPr>
            </w:pPr>
            <w:r w:rsidRPr="007036C6">
              <w:rPr>
                <w:bCs/>
                <w:i/>
                <w:sz w:val="18"/>
                <w:szCs w:val="18"/>
                <w:lang w:val="en-US"/>
              </w:rPr>
              <w:t>R41; R410; M10</w:t>
            </w:r>
            <w:r w:rsidR="00EB210F" w:rsidRPr="007036C6">
              <w:rPr>
                <w:bCs/>
                <w:i/>
                <w:sz w:val="18"/>
                <w:szCs w:val="18"/>
                <w:lang w:val="en-US"/>
              </w:rPr>
              <w:t xml:space="preserve"> </w:t>
            </w:r>
            <w:r w:rsidR="00EB210F" w:rsidRPr="007036C6">
              <w:rPr>
                <w:i/>
                <w:sz w:val="18"/>
                <w:szCs w:val="18"/>
                <w:lang w:val="en-US"/>
              </w:rPr>
              <w:t>(</w:t>
            </w:r>
            <w:r w:rsidR="00EB210F" w:rsidRPr="007036C6">
              <w:rPr>
                <w:i/>
                <w:color w:val="FF0000"/>
                <w:sz w:val="18"/>
                <w:szCs w:val="18"/>
                <w:lang w:val="en-US"/>
              </w:rPr>
              <w:t>3-5 codes</w:t>
            </w:r>
            <w:r w:rsidR="00EB210F" w:rsidRPr="007036C6">
              <w:rPr>
                <w:i/>
                <w:sz w:val="18"/>
                <w:szCs w:val="18"/>
                <w:lang w:val="en-US"/>
              </w:rPr>
              <w:t>)</w:t>
            </w:r>
          </w:p>
        </w:tc>
        <w:tc>
          <w:tcPr>
            <w:tcW w:w="5778" w:type="dxa"/>
            <w:vAlign w:val="center"/>
          </w:tcPr>
          <w:p w14:paraId="62478246" w14:textId="455C3240" w:rsidR="00FE70DB" w:rsidRPr="007036C6" w:rsidRDefault="00FE70DB" w:rsidP="00150503">
            <w:pPr>
              <w:pStyle w:val="BodyText"/>
              <w:jc w:val="left"/>
              <w:rPr>
                <w:b/>
                <w:bCs/>
                <w:iCs/>
                <w:sz w:val="18"/>
                <w:szCs w:val="18"/>
                <w:lang w:val="en-US"/>
              </w:rPr>
            </w:pPr>
            <w:r w:rsidRPr="007036C6">
              <w:rPr>
                <w:b/>
                <w:sz w:val="18"/>
                <w:szCs w:val="18"/>
                <w:lang w:val="en-US"/>
              </w:rPr>
              <w:t xml:space="preserve">Keywords: </w:t>
            </w:r>
            <w:r w:rsidRPr="007036C6">
              <w:rPr>
                <w:i/>
                <w:sz w:val="18"/>
                <w:szCs w:val="18"/>
                <w:lang w:val="en-US"/>
              </w:rPr>
              <w:t>Public Transport Service; Passengers’ Satisfaction; Perceived Unreliability</w:t>
            </w:r>
            <w:r w:rsidRPr="007036C6">
              <w:rPr>
                <w:rFonts w:eastAsia="Calibri"/>
                <w:i/>
                <w:sz w:val="18"/>
                <w:szCs w:val="18"/>
                <w:lang w:val="en-US"/>
              </w:rPr>
              <w:t>;</w:t>
            </w:r>
            <w:r w:rsidRPr="007036C6">
              <w:rPr>
                <w:i/>
                <w:sz w:val="18"/>
                <w:szCs w:val="18"/>
                <w:lang w:val="en-US"/>
              </w:rPr>
              <w:t xml:space="preserve"> Perceived Safety Uncertainty (</w:t>
            </w:r>
            <w:r w:rsidRPr="007036C6">
              <w:rPr>
                <w:i/>
                <w:color w:val="FF0000"/>
                <w:sz w:val="18"/>
                <w:szCs w:val="18"/>
                <w:lang w:val="en-US"/>
              </w:rPr>
              <w:t>3-5 keywords</w:t>
            </w:r>
            <w:r w:rsidRPr="007036C6">
              <w:rPr>
                <w:i/>
                <w:sz w:val="18"/>
                <w:szCs w:val="18"/>
                <w:lang w:val="en-US"/>
              </w:rPr>
              <w:t>)</w:t>
            </w:r>
          </w:p>
        </w:tc>
      </w:tr>
    </w:tbl>
    <w:p w14:paraId="52251E62" w14:textId="77777777" w:rsidR="00841199" w:rsidRPr="007036C6" w:rsidRDefault="00841199">
      <w:pPr>
        <w:spacing w:after="160" w:line="259" w:lineRule="auto"/>
        <w:rPr>
          <w:b/>
          <w:bCs/>
          <w:szCs w:val="28"/>
        </w:rPr>
      </w:pPr>
      <w:r w:rsidRPr="007036C6">
        <w:rPr>
          <w:b/>
          <w:bCs/>
          <w:szCs w:val="28"/>
        </w:rPr>
        <w:br w:type="page"/>
      </w:r>
    </w:p>
    <w:p w14:paraId="16A307A8" w14:textId="44F2494D" w:rsidR="00675E93" w:rsidRPr="007036C6" w:rsidRDefault="00675E93" w:rsidP="00675E93">
      <w:pPr>
        <w:pStyle w:val="BodyText"/>
        <w:tabs>
          <w:tab w:val="left" w:pos="567"/>
        </w:tabs>
        <w:spacing w:before="800" w:after="220"/>
        <w:rPr>
          <w:b/>
          <w:bCs/>
          <w:szCs w:val="28"/>
          <w:lang w:val="en-US"/>
        </w:rPr>
      </w:pPr>
      <w:r w:rsidRPr="007036C6">
        <w:rPr>
          <w:b/>
          <w:bCs/>
          <w:szCs w:val="28"/>
          <w:lang w:val="en-US"/>
        </w:rPr>
        <w:lastRenderedPageBreak/>
        <w:t>Introduction</w:t>
      </w:r>
      <w:r w:rsidR="00322E71" w:rsidRPr="007036C6">
        <w:rPr>
          <w:b/>
          <w:bCs/>
          <w:szCs w:val="28"/>
          <w:lang w:val="en-US"/>
        </w:rPr>
        <w:t xml:space="preserve"> </w:t>
      </w:r>
      <w:r w:rsidR="00322E71" w:rsidRPr="007036C6">
        <w:rPr>
          <w:b/>
          <w:bCs/>
          <w:szCs w:val="28"/>
          <w:highlight w:val="yellow"/>
          <w:lang w:val="en-US"/>
        </w:rPr>
        <w:t>[Mandatory chapter]</w:t>
      </w:r>
    </w:p>
    <w:p w14:paraId="076963A5" w14:textId="5D12F418" w:rsidR="00675E93" w:rsidRPr="007036C6" w:rsidRDefault="00675E93" w:rsidP="00CF5C0A">
      <w:pPr>
        <w:jc w:val="both"/>
        <w:rPr>
          <w:sz w:val="22"/>
          <w:szCs w:val="22"/>
        </w:rPr>
      </w:pPr>
      <w:r w:rsidRPr="007036C6">
        <w:rPr>
          <w:sz w:val="22"/>
          <w:szCs w:val="22"/>
        </w:rPr>
        <w:t xml:space="preserve">The extent and depth of poverty in the developing world is very grave </w:t>
      </w:r>
      <w:r w:rsidRPr="007036C6">
        <w:rPr>
          <w:sz w:val="22"/>
          <w:szCs w:val="22"/>
          <w:highlight w:val="yellow"/>
        </w:rPr>
        <w:t>(Pinstrup-Anderson &amp; Pandya-Lorch, 20</w:t>
      </w:r>
      <w:r w:rsidR="00383D57" w:rsidRPr="007036C6">
        <w:rPr>
          <w:sz w:val="22"/>
          <w:szCs w:val="22"/>
          <w:highlight w:val="yellow"/>
        </w:rPr>
        <w:t>2</w:t>
      </w:r>
      <w:r w:rsidRPr="007036C6">
        <w:rPr>
          <w:sz w:val="22"/>
          <w:szCs w:val="22"/>
          <w:highlight w:val="yellow"/>
        </w:rPr>
        <w:t>1; AFDB, 20</w:t>
      </w:r>
      <w:r w:rsidR="00383D57" w:rsidRPr="007036C6">
        <w:rPr>
          <w:sz w:val="22"/>
          <w:szCs w:val="22"/>
          <w:highlight w:val="yellow"/>
        </w:rPr>
        <w:t>22</w:t>
      </w:r>
      <w:r w:rsidRPr="007036C6">
        <w:rPr>
          <w:sz w:val="22"/>
          <w:szCs w:val="22"/>
          <w:highlight w:val="yellow"/>
        </w:rPr>
        <w:t>)</w:t>
      </w:r>
      <w:r w:rsidRPr="007036C6">
        <w:rPr>
          <w:sz w:val="22"/>
          <w:szCs w:val="22"/>
        </w:rPr>
        <w:t xml:space="preserve">. E), recently this has been attributed to </w:t>
      </w:r>
      <w:r w:rsidR="00A702E5" w:rsidRPr="007036C6">
        <w:rPr>
          <w:sz w:val="22"/>
          <w:szCs w:val="22"/>
        </w:rPr>
        <w:t xml:space="preserve">a </w:t>
      </w:r>
      <w:r w:rsidRPr="007036C6">
        <w:rPr>
          <w:sz w:val="22"/>
          <w:szCs w:val="22"/>
        </w:rPr>
        <w:t xml:space="preserve">lack of inclusive growth in these countries </w:t>
      </w:r>
      <w:r w:rsidRPr="007036C6">
        <w:rPr>
          <w:sz w:val="22"/>
          <w:szCs w:val="22"/>
          <w:highlight w:val="yellow"/>
        </w:rPr>
        <w:t>(Edward &amp; Sumner, 201</w:t>
      </w:r>
      <w:r w:rsidR="00383D57" w:rsidRPr="007036C6">
        <w:rPr>
          <w:sz w:val="22"/>
          <w:szCs w:val="22"/>
          <w:highlight w:val="yellow"/>
        </w:rPr>
        <w:t>9</w:t>
      </w:r>
      <w:r w:rsidRPr="007036C6">
        <w:rPr>
          <w:sz w:val="22"/>
          <w:szCs w:val="22"/>
          <w:highlight w:val="yellow"/>
        </w:rPr>
        <w:t>)</w:t>
      </w:r>
      <w:r w:rsidRPr="007036C6">
        <w:rPr>
          <w:sz w:val="22"/>
          <w:szCs w:val="22"/>
        </w:rPr>
        <w:t xml:space="preserve">. However, the growth elasticity of poverty differs enormously across countries with the shape of the growth incidence curve </w:t>
      </w:r>
      <w:r w:rsidRPr="007036C6">
        <w:rPr>
          <w:sz w:val="22"/>
          <w:szCs w:val="22"/>
          <w:highlight w:val="yellow"/>
        </w:rPr>
        <w:t>(</w:t>
      </w:r>
      <w:r w:rsidR="005E2172" w:rsidRPr="007036C6">
        <w:rPr>
          <w:sz w:val="22"/>
          <w:szCs w:val="22"/>
          <w:highlight w:val="yellow"/>
        </w:rPr>
        <w:t>Elwood et al., 2011; Figley, 2022; O’Halloran &amp; Linton, 2023)</w:t>
      </w:r>
      <w:r w:rsidR="005E2172" w:rsidRPr="007036C6">
        <w:rPr>
          <w:sz w:val="22"/>
          <w:szCs w:val="22"/>
        </w:rPr>
        <w:t>.</w:t>
      </w:r>
    </w:p>
    <w:p w14:paraId="7120597A" w14:textId="77777777" w:rsidR="00675E93" w:rsidRPr="007036C6" w:rsidRDefault="00675E93" w:rsidP="00675E93">
      <w:pPr>
        <w:spacing w:before="400" w:after="220"/>
        <w:jc w:val="both"/>
        <w:rPr>
          <w:b/>
          <w:szCs w:val="28"/>
        </w:rPr>
      </w:pPr>
      <w:r w:rsidRPr="007036C6">
        <w:rPr>
          <w:b/>
          <w:szCs w:val="28"/>
          <w:highlight w:val="yellow"/>
        </w:rPr>
        <w:t>Literature Review [</w:t>
      </w:r>
      <w:r w:rsidRPr="007036C6">
        <w:rPr>
          <w:b/>
          <w:bCs/>
          <w:szCs w:val="28"/>
          <w:highlight w:val="yellow"/>
        </w:rPr>
        <w:t>Chapters Titles</w:t>
      </w:r>
      <w:r w:rsidRPr="007036C6">
        <w:rPr>
          <w:b/>
          <w:szCs w:val="28"/>
          <w:highlight w:val="yellow"/>
        </w:rPr>
        <w:t>]</w:t>
      </w:r>
    </w:p>
    <w:p w14:paraId="0115816E" w14:textId="66DBEC26" w:rsidR="00675E93" w:rsidRPr="007036C6" w:rsidRDefault="00F871C4" w:rsidP="00675E93">
      <w:pPr>
        <w:spacing w:after="120"/>
        <w:jc w:val="both"/>
        <w:rPr>
          <w:sz w:val="22"/>
          <w:szCs w:val="22"/>
        </w:rPr>
      </w:pPr>
      <w:r w:rsidRPr="007036C6">
        <w:rPr>
          <w:sz w:val="22"/>
          <w:szCs w:val="22"/>
          <w:highlight w:val="yellow"/>
        </w:rPr>
        <w:t>Velez et al. (2018)</w:t>
      </w:r>
      <w:r w:rsidRPr="007036C6">
        <w:rPr>
          <w:sz w:val="22"/>
          <w:szCs w:val="22"/>
        </w:rPr>
        <w:t xml:space="preserve"> found that </w:t>
      </w:r>
      <w:r w:rsidR="00675E93" w:rsidRPr="007036C6">
        <w:rPr>
          <w:sz w:val="22"/>
          <w:szCs w:val="22"/>
        </w:rPr>
        <w:t xml:space="preserve">a number of measures for poverty reduction. For instance, the Mercantilists laid emphasis on foreign trade which according to them is an important vehicle for the promotion of economic growth and poverty reduction. The Classical economists’ (Adam Smith, David Ricardo, Thomas Malthus, Karl Marx, etc.) views on poverty reduction brought to </w:t>
      </w:r>
      <w:r w:rsidR="00A702E5" w:rsidRPr="007036C6">
        <w:rPr>
          <w:sz w:val="22"/>
          <w:szCs w:val="22"/>
        </w:rPr>
        <w:t xml:space="preserve">the </w:t>
      </w:r>
      <w:r w:rsidR="00675E93" w:rsidRPr="007036C6">
        <w:rPr>
          <w:sz w:val="22"/>
          <w:szCs w:val="22"/>
        </w:rPr>
        <w:t>fore the social changes which occurred through technological changes resulting from the industrial revolution that took place between 1750-1850. The early development economists of the 1940s and the 1950s advocate the theory of forced-drift industrialization via Big-push, Balanced growth</w:t>
      </w:r>
      <w:r w:rsidR="00A702E5" w:rsidRPr="007036C6">
        <w:rPr>
          <w:sz w:val="22"/>
          <w:szCs w:val="22"/>
        </w:rPr>
        <w:t>,</w:t>
      </w:r>
      <w:r w:rsidR="00675E93" w:rsidRPr="007036C6">
        <w:rPr>
          <w:sz w:val="22"/>
          <w:szCs w:val="22"/>
        </w:rPr>
        <w:t xml:space="preserve"> and Labour transfer (</w:t>
      </w:r>
      <w:r w:rsidR="00675E93" w:rsidRPr="007036C6">
        <w:rPr>
          <w:sz w:val="22"/>
          <w:szCs w:val="22"/>
          <w:highlight w:val="yellow"/>
        </w:rPr>
        <w:t>Ijaiya, 20</w:t>
      </w:r>
      <w:r w:rsidR="00383D57" w:rsidRPr="007036C6">
        <w:rPr>
          <w:sz w:val="22"/>
          <w:szCs w:val="22"/>
          <w:highlight w:val="yellow"/>
        </w:rPr>
        <w:t>2</w:t>
      </w:r>
      <w:r w:rsidR="00675E93" w:rsidRPr="007036C6">
        <w:rPr>
          <w:sz w:val="22"/>
          <w:szCs w:val="22"/>
          <w:highlight w:val="yellow"/>
        </w:rPr>
        <w:t>2</w:t>
      </w:r>
      <w:r w:rsidR="00675E93" w:rsidRPr="007036C6">
        <w:rPr>
          <w:sz w:val="22"/>
          <w:szCs w:val="22"/>
        </w:rPr>
        <w:t xml:space="preserve">). </w:t>
      </w:r>
    </w:p>
    <w:p w14:paraId="3112FFDA" w14:textId="77777777" w:rsidR="00675E93" w:rsidRPr="007036C6" w:rsidRDefault="00675E93" w:rsidP="00675E93">
      <w:pPr>
        <w:autoSpaceDE w:val="0"/>
        <w:autoSpaceDN w:val="0"/>
        <w:adjustRightInd w:val="0"/>
        <w:spacing w:before="240" w:after="120"/>
        <w:rPr>
          <w:b/>
          <w:bCs/>
          <w:sz w:val="25"/>
          <w:szCs w:val="25"/>
        </w:rPr>
      </w:pPr>
      <w:r w:rsidRPr="007036C6">
        <w:rPr>
          <w:b/>
          <w:bCs/>
          <w:sz w:val="25"/>
          <w:szCs w:val="25"/>
          <w:highlight w:val="yellow"/>
        </w:rPr>
        <w:t>Theoretical Review [Subchapters Titles]</w:t>
      </w:r>
    </w:p>
    <w:p w14:paraId="40EE0C16" w14:textId="23967A03" w:rsidR="00675E93" w:rsidRPr="007036C6" w:rsidRDefault="00675E93" w:rsidP="00675E93">
      <w:pPr>
        <w:spacing w:after="120"/>
        <w:jc w:val="both"/>
        <w:rPr>
          <w:sz w:val="22"/>
          <w:szCs w:val="22"/>
        </w:rPr>
      </w:pPr>
      <w:r w:rsidRPr="007036C6">
        <w:rPr>
          <w:sz w:val="22"/>
          <w:szCs w:val="22"/>
        </w:rPr>
        <w:t>In the 19</w:t>
      </w:r>
      <w:r w:rsidR="00834FE5" w:rsidRPr="007036C6">
        <w:rPr>
          <w:sz w:val="22"/>
          <w:szCs w:val="22"/>
        </w:rPr>
        <w:t>9</w:t>
      </w:r>
      <w:r w:rsidRPr="007036C6">
        <w:rPr>
          <w:sz w:val="22"/>
          <w:szCs w:val="22"/>
        </w:rPr>
        <w:t>0s</w:t>
      </w:r>
      <w:r w:rsidR="00530A6C" w:rsidRPr="007036C6">
        <w:rPr>
          <w:sz w:val="22"/>
          <w:szCs w:val="22"/>
        </w:rPr>
        <w:t>,</w:t>
      </w:r>
      <w:r w:rsidRPr="007036C6">
        <w:rPr>
          <w:sz w:val="22"/>
          <w:szCs w:val="22"/>
        </w:rPr>
        <w:t xml:space="preserve"> </w:t>
      </w:r>
      <w:r w:rsidRPr="007036C6">
        <w:rPr>
          <w:sz w:val="22"/>
          <w:szCs w:val="22"/>
          <w:highlight w:val="yellow"/>
        </w:rPr>
        <w:t>Chenery et</w:t>
      </w:r>
      <w:r w:rsidR="00834FE5" w:rsidRPr="007036C6">
        <w:rPr>
          <w:sz w:val="22"/>
          <w:szCs w:val="22"/>
          <w:highlight w:val="yellow"/>
        </w:rPr>
        <w:t xml:space="preserve"> </w:t>
      </w:r>
      <w:r w:rsidRPr="007036C6">
        <w:rPr>
          <w:sz w:val="22"/>
          <w:szCs w:val="22"/>
          <w:highlight w:val="yellow"/>
        </w:rPr>
        <w:t>al</w:t>
      </w:r>
      <w:r w:rsidR="00834FE5" w:rsidRPr="007036C6">
        <w:rPr>
          <w:sz w:val="22"/>
          <w:szCs w:val="22"/>
          <w:highlight w:val="yellow"/>
        </w:rPr>
        <w:t>.</w:t>
      </w:r>
      <w:r w:rsidRPr="007036C6">
        <w:rPr>
          <w:sz w:val="22"/>
          <w:szCs w:val="22"/>
          <w:highlight w:val="yellow"/>
        </w:rPr>
        <w:t xml:space="preserve"> (19</w:t>
      </w:r>
      <w:r w:rsidR="00834FE5" w:rsidRPr="007036C6">
        <w:rPr>
          <w:sz w:val="22"/>
          <w:szCs w:val="22"/>
          <w:highlight w:val="yellow"/>
        </w:rPr>
        <w:t>9</w:t>
      </w:r>
      <w:r w:rsidRPr="007036C6">
        <w:rPr>
          <w:sz w:val="22"/>
          <w:szCs w:val="22"/>
          <w:highlight w:val="yellow"/>
        </w:rPr>
        <w:t>4)</w:t>
      </w:r>
      <w:r w:rsidRPr="007036C6">
        <w:rPr>
          <w:sz w:val="22"/>
          <w:szCs w:val="22"/>
        </w:rPr>
        <w:t xml:space="preserve"> advocates </w:t>
      </w:r>
      <w:r w:rsidR="00A702E5" w:rsidRPr="007036C6">
        <w:rPr>
          <w:sz w:val="22"/>
          <w:szCs w:val="22"/>
        </w:rPr>
        <w:t xml:space="preserve">the </w:t>
      </w:r>
      <w:r w:rsidRPr="007036C6">
        <w:rPr>
          <w:sz w:val="22"/>
          <w:szCs w:val="22"/>
        </w:rPr>
        <w:t xml:space="preserve">re-distribution of income. To them, poverty can better be reduced if radical redistribution of income or land is allowed to take place </w:t>
      </w:r>
      <w:r w:rsidR="00A702E5" w:rsidRPr="007036C6">
        <w:rPr>
          <w:sz w:val="22"/>
          <w:szCs w:val="22"/>
        </w:rPr>
        <w:t>because</w:t>
      </w:r>
      <w:r w:rsidRPr="007036C6">
        <w:rPr>
          <w:sz w:val="22"/>
          <w:szCs w:val="22"/>
        </w:rPr>
        <w:t xml:space="preserve"> of the interlocking power and self-interest of the rich and the bureaucracy in the handling of the nations’ resources</w:t>
      </w:r>
      <w:r w:rsidR="00A20950" w:rsidRPr="007036C6">
        <w:rPr>
          <w:sz w:val="22"/>
          <w:szCs w:val="22"/>
        </w:rPr>
        <w:t xml:space="preserve"> (</w:t>
      </w:r>
      <w:r w:rsidR="00A20950" w:rsidRPr="007036C6">
        <w:rPr>
          <w:sz w:val="22"/>
          <w:szCs w:val="22"/>
          <w:highlight w:val="yellow"/>
        </w:rPr>
        <w:t>Table 1</w:t>
      </w:r>
      <w:r w:rsidR="00A20950" w:rsidRPr="007036C6">
        <w:rPr>
          <w:sz w:val="22"/>
          <w:szCs w:val="22"/>
        </w:rPr>
        <w:t>).</w:t>
      </w:r>
    </w:p>
    <w:p w14:paraId="07528EAF" w14:textId="77777777" w:rsidR="00675E93" w:rsidRPr="007036C6" w:rsidRDefault="00675E93" w:rsidP="00675E93">
      <w:pPr>
        <w:spacing w:after="120"/>
        <w:jc w:val="center"/>
        <w:rPr>
          <w:sz w:val="20"/>
          <w:lang w:eastAsia="en-GB"/>
        </w:rPr>
      </w:pPr>
      <w:r w:rsidRPr="007036C6">
        <w:rPr>
          <w:b/>
          <w:sz w:val="20"/>
          <w:highlight w:val="yellow"/>
          <w:lang w:eastAsia="en-GB"/>
        </w:rPr>
        <w:t>Table 1.</w:t>
      </w:r>
      <w:r w:rsidRPr="007036C6">
        <w:rPr>
          <w:sz w:val="20"/>
          <w:highlight w:val="yellow"/>
          <w:lang w:eastAsia="en-GB"/>
        </w:rPr>
        <w:t xml:space="preserve"> KMO and Bartlett's Test</w:t>
      </w:r>
    </w:p>
    <w:tbl>
      <w:tblPr>
        <w:tblW w:w="833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01"/>
        <w:gridCol w:w="3304"/>
        <w:gridCol w:w="1530"/>
      </w:tblGrid>
      <w:tr w:rsidR="00675E93" w:rsidRPr="007036C6" w14:paraId="1B8A1C7C" w14:textId="77777777" w:rsidTr="00C349D3">
        <w:trPr>
          <w:cantSplit/>
          <w:trHeight w:val="388"/>
        </w:trPr>
        <w:tc>
          <w:tcPr>
            <w:tcW w:w="68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3893EA" w14:textId="77777777" w:rsidR="00675E93" w:rsidRPr="007036C6" w:rsidRDefault="00675E93" w:rsidP="00C349D3">
            <w:pPr>
              <w:autoSpaceDE w:val="0"/>
              <w:autoSpaceDN w:val="0"/>
              <w:adjustRightInd w:val="0"/>
              <w:ind w:left="60" w:right="60"/>
              <w:rPr>
                <w:b/>
                <w:color w:val="000000"/>
                <w:sz w:val="20"/>
              </w:rPr>
            </w:pPr>
            <w:r w:rsidRPr="007036C6">
              <w:rPr>
                <w:b/>
                <w:color w:val="000000"/>
                <w:sz w:val="20"/>
              </w:rPr>
              <w:t>Kaiser-Meyer-Olkin Measure of Sampling Adequacy.</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668F1E4B" w14:textId="77777777" w:rsidR="00675E93" w:rsidRPr="007036C6" w:rsidRDefault="00675E93" w:rsidP="00C349D3">
            <w:pPr>
              <w:autoSpaceDE w:val="0"/>
              <w:autoSpaceDN w:val="0"/>
              <w:adjustRightInd w:val="0"/>
              <w:ind w:left="60" w:right="60"/>
              <w:jc w:val="right"/>
              <w:rPr>
                <w:color w:val="000000"/>
                <w:sz w:val="20"/>
              </w:rPr>
            </w:pPr>
            <w:r w:rsidRPr="007036C6">
              <w:rPr>
                <w:color w:val="000000"/>
                <w:sz w:val="20"/>
              </w:rPr>
              <w:t>.706</w:t>
            </w:r>
          </w:p>
        </w:tc>
      </w:tr>
      <w:tr w:rsidR="00675E93" w:rsidRPr="007036C6" w14:paraId="37D04745" w14:textId="77777777" w:rsidTr="00C349D3">
        <w:trPr>
          <w:cantSplit/>
          <w:trHeight w:val="388"/>
        </w:trPr>
        <w:tc>
          <w:tcPr>
            <w:tcW w:w="3501" w:type="dxa"/>
            <w:vMerge w:val="restart"/>
            <w:tcBorders>
              <w:top w:val="single" w:sz="4" w:space="0" w:color="auto"/>
              <w:left w:val="single" w:sz="4" w:space="0" w:color="auto"/>
              <w:bottom w:val="single" w:sz="16" w:space="0" w:color="000000"/>
              <w:right w:val="single" w:sz="4" w:space="0" w:color="auto"/>
            </w:tcBorders>
            <w:shd w:val="clear" w:color="auto" w:fill="FFFFFF"/>
            <w:vAlign w:val="center"/>
          </w:tcPr>
          <w:p w14:paraId="1C73707B" w14:textId="77777777" w:rsidR="00675E93" w:rsidRPr="007036C6" w:rsidRDefault="00675E93" w:rsidP="00C349D3">
            <w:pPr>
              <w:autoSpaceDE w:val="0"/>
              <w:autoSpaceDN w:val="0"/>
              <w:adjustRightInd w:val="0"/>
              <w:ind w:left="60" w:right="60"/>
              <w:rPr>
                <w:b/>
                <w:color w:val="000000"/>
                <w:sz w:val="20"/>
              </w:rPr>
            </w:pPr>
            <w:r w:rsidRPr="007036C6">
              <w:rPr>
                <w:b/>
                <w:color w:val="000000"/>
                <w:sz w:val="20"/>
              </w:rPr>
              <w:t>Bartlett's Test of Sphericity</w:t>
            </w:r>
          </w:p>
        </w:tc>
        <w:tc>
          <w:tcPr>
            <w:tcW w:w="3304" w:type="dxa"/>
            <w:tcBorders>
              <w:top w:val="single" w:sz="4" w:space="0" w:color="auto"/>
              <w:left w:val="single" w:sz="4" w:space="0" w:color="auto"/>
              <w:bottom w:val="nil"/>
              <w:right w:val="single" w:sz="4" w:space="0" w:color="auto"/>
            </w:tcBorders>
            <w:shd w:val="clear" w:color="auto" w:fill="FFFFFF"/>
            <w:vAlign w:val="center"/>
          </w:tcPr>
          <w:p w14:paraId="13AED157" w14:textId="77777777" w:rsidR="00675E93" w:rsidRPr="007036C6" w:rsidRDefault="00675E93" w:rsidP="00C349D3">
            <w:pPr>
              <w:autoSpaceDE w:val="0"/>
              <w:autoSpaceDN w:val="0"/>
              <w:adjustRightInd w:val="0"/>
              <w:ind w:left="60" w:right="60"/>
              <w:rPr>
                <w:color w:val="000000"/>
                <w:sz w:val="20"/>
              </w:rPr>
            </w:pPr>
            <w:r w:rsidRPr="007036C6">
              <w:rPr>
                <w:color w:val="000000"/>
                <w:sz w:val="20"/>
              </w:rPr>
              <w:t>Approx. Chi-Square</w:t>
            </w:r>
          </w:p>
        </w:tc>
        <w:tc>
          <w:tcPr>
            <w:tcW w:w="1530" w:type="dxa"/>
            <w:tcBorders>
              <w:top w:val="single" w:sz="4" w:space="0" w:color="auto"/>
              <w:left w:val="single" w:sz="4" w:space="0" w:color="auto"/>
              <w:bottom w:val="nil"/>
              <w:right w:val="single" w:sz="4" w:space="0" w:color="auto"/>
            </w:tcBorders>
            <w:shd w:val="clear" w:color="auto" w:fill="FFFFFF"/>
            <w:vAlign w:val="center"/>
          </w:tcPr>
          <w:p w14:paraId="34A1A1FD" w14:textId="77777777" w:rsidR="00675E93" w:rsidRPr="007036C6" w:rsidRDefault="00675E93" w:rsidP="00C349D3">
            <w:pPr>
              <w:autoSpaceDE w:val="0"/>
              <w:autoSpaceDN w:val="0"/>
              <w:adjustRightInd w:val="0"/>
              <w:ind w:left="60" w:right="60"/>
              <w:jc w:val="right"/>
              <w:rPr>
                <w:color w:val="000000"/>
                <w:sz w:val="20"/>
              </w:rPr>
            </w:pPr>
            <w:r w:rsidRPr="007036C6">
              <w:rPr>
                <w:color w:val="000000"/>
                <w:sz w:val="20"/>
              </w:rPr>
              <w:t>2233.682</w:t>
            </w:r>
          </w:p>
        </w:tc>
      </w:tr>
      <w:tr w:rsidR="00675E93" w:rsidRPr="007036C6" w14:paraId="340F9CA0" w14:textId="77777777" w:rsidTr="00C349D3">
        <w:trPr>
          <w:cantSplit/>
          <w:trHeight w:val="178"/>
        </w:trPr>
        <w:tc>
          <w:tcPr>
            <w:tcW w:w="3501" w:type="dxa"/>
            <w:vMerge/>
            <w:tcBorders>
              <w:top w:val="nil"/>
              <w:left w:val="single" w:sz="4" w:space="0" w:color="auto"/>
              <w:bottom w:val="single" w:sz="16" w:space="0" w:color="000000"/>
              <w:right w:val="single" w:sz="4" w:space="0" w:color="auto"/>
            </w:tcBorders>
            <w:shd w:val="clear" w:color="auto" w:fill="FFFFFF"/>
            <w:vAlign w:val="center"/>
          </w:tcPr>
          <w:p w14:paraId="4C4AEC2C" w14:textId="77777777" w:rsidR="00675E93" w:rsidRPr="007036C6" w:rsidRDefault="00675E93" w:rsidP="00C349D3">
            <w:pPr>
              <w:autoSpaceDE w:val="0"/>
              <w:autoSpaceDN w:val="0"/>
              <w:adjustRightInd w:val="0"/>
              <w:rPr>
                <w:color w:val="000000"/>
                <w:sz w:val="20"/>
              </w:rPr>
            </w:pPr>
          </w:p>
        </w:tc>
        <w:tc>
          <w:tcPr>
            <w:tcW w:w="3304" w:type="dxa"/>
            <w:tcBorders>
              <w:top w:val="single" w:sz="4" w:space="0" w:color="auto"/>
              <w:left w:val="single" w:sz="4" w:space="0" w:color="auto"/>
              <w:bottom w:val="nil"/>
              <w:right w:val="single" w:sz="4" w:space="0" w:color="auto"/>
            </w:tcBorders>
            <w:shd w:val="clear" w:color="auto" w:fill="FFFFFF"/>
            <w:vAlign w:val="center"/>
          </w:tcPr>
          <w:p w14:paraId="7153201C" w14:textId="77777777" w:rsidR="00675E93" w:rsidRPr="007036C6" w:rsidRDefault="00675E93" w:rsidP="00C349D3">
            <w:pPr>
              <w:autoSpaceDE w:val="0"/>
              <w:autoSpaceDN w:val="0"/>
              <w:adjustRightInd w:val="0"/>
              <w:ind w:left="60" w:right="60"/>
              <w:rPr>
                <w:color w:val="000000"/>
                <w:sz w:val="20"/>
              </w:rPr>
            </w:pPr>
            <w:r w:rsidRPr="007036C6">
              <w:rPr>
                <w:color w:val="000000"/>
                <w:sz w:val="20"/>
              </w:rPr>
              <w:t>Df</w:t>
            </w:r>
          </w:p>
        </w:tc>
        <w:tc>
          <w:tcPr>
            <w:tcW w:w="1530" w:type="dxa"/>
            <w:tcBorders>
              <w:top w:val="single" w:sz="4" w:space="0" w:color="auto"/>
              <w:left w:val="single" w:sz="4" w:space="0" w:color="auto"/>
              <w:bottom w:val="nil"/>
              <w:right w:val="single" w:sz="4" w:space="0" w:color="auto"/>
            </w:tcBorders>
            <w:shd w:val="clear" w:color="auto" w:fill="FFFFFF"/>
            <w:vAlign w:val="center"/>
          </w:tcPr>
          <w:p w14:paraId="1D03C0FE" w14:textId="77777777" w:rsidR="00675E93" w:rsidRPr="007036C6" w:rsidRDefault="00675E93" w:rsidP="00C349D3">
            <w:pPr>
              <w:autoSpaceDE w:val="0"/>
              <w:autoSpaceDN w:val="0"/>
              <w:adjustRightInd w:val="0"/>
              <w:ind w:left="60" w:right="60"/>
              <w:jc w:val="right"/>
              <w:rPr>
                <w:color w:val="000000"/>
                <w:sz w:val="20"/>
              </w:rPr>
            </w:pPr>
            <w:r w:rsidRPr="007036C6">
              <w:rPr>
                <w:color w:val="000000"/>
                <w:sz w:val="20"/>
              </w:rPr>
              <w:t>45</w:t>
            </w:r>
          </w:p>
        </w:tc>
      </w:tr>
      <w:tr w:rsidR="00675E93" w:rsidRPr="007036C6" w14:paraId="4F986CF4" w14:textId="77777777" w:rsidTr="003D297E">
        <w:trPr>
          <w:cantSplit/>
          <w:trHeight w:val="178"/>
        </w:trPr>
        <w:tc>
          <w:tcPr>
            <w:tcW w:w="3501" w:type="dxa"/>
            <w:vMerge/>
            <w:tcBorders>
              <w:top w:val="nil"/>
              <w:left w:val="single" w:sz="4" w:space="0" w:color="auto"/>
              <w:bottom w:val="nil"/>
              <w:right w:val="single" w:sz="4" w:space="0" w:color="auto"/>
            </w:tcBorders>
            <w:shd w:val="clear" w:color="auto" w:fill="FFFFFF"/>
            <w:vAlign w:val="center"/>
          </w:tcPr>
          <w:p w14:paraId="55F8837C" w14:textId="77777777" w:rsidR="00675E93" w:rsidRPr="007036C6" w:rsidRDefault="00675E93" w:rsidP="00C349D3">
            <w:pPr>
              <w:autoSpaceDE w:val="0"/>
              <w:autoSpaceDN w:val="0"/>
              <w:adjustRightInd w:val="0"/>
              <w:rPr>
                <w:color w:val="000000"/>
                <w:sz w:val="20"/>
              </w:rPr>
            </w:pPr>
          </w:p>
        </w:tc>
        <w:tc>
          <w:tcPr>
            <w:tcW w:w="3304" w:type="dxa"/>
            <w:tcBorders>
              <w:top w:val="single" w:sz="4" w:space="0" w:color="auto"/>
              <w:left w:val="single" w:sz="4" w:space="0" w:color="auto"/>
              <w:bottom w:val="single" w:sz="4" w:space="0" w:color="auto"/>
              <w:right w:val="single" w:sz="4" w:space="0" w:color="auto"/>
            </w:tcBorders>
            <w:shd w:val="clear" w:color="auto" w:fill="FFFFFF"/>
            <w:vAlign w:val="center"/>
          </w:tcPr>
          <w:p w14:paraId="39D91253" w14:textId="77777777" w:rsidR="00675E93" w:rsidRPr="007036C6" w:rsidRDefault="00675E93" w:rsidP="00C349D3">
            <w:pPr>
              <w:autoSpaceDE w:val="0"/>
              <w:autoSpaceDN w:val="0"/>
              <w:adjustRightInd w:val="0"/>
              <w:ind w:left="60" w:right="60"/>
              <w:rPr>
                <w:color w:val="000000"/>
                <w:sz w:val="20"/>
              </w:rPr>
            </w:pPr>
            <w:r w:rsidRPr="007036C6">
              <w:rPr>
                <w:color w:val="000000"/>
                <w:sz w:val="20"/>
              </w:rPr>
              <w:t>Sig.</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57A0D1AB" w14:textId="77777777" w:rsidR="00675E93" w:rsidRPr="007036C6" w:rsidRDefault="00675E93" w:rsidP="00C349D3">
            <w:pPr>
              <w:autoSpaceDE w:val="0"/>
              <w:autoSpaceDN w:val="0"/>
              <w:adjustRightInd w:val="0"/>
              <w:ind w:left="60" w:right="60"/>
              <w:jc w:val="right"/>
              <w:rPr>
                <w:color w:val="000000"/>
                <w:sz w:val="20"/>
              </w:rPr>
            </w:pPr>
            <w:r w:rsidRPr="007036C6">
              <w:rPr>
                <w:color w:val="000000"/>
                <w:sz w:val="20"/>
              </w:rPr>
              <w:t>.000</w:t>
            </w:r>
          </w:p>
        </w:tc>
      </w:tr>
      <w:tr w:rsidR="003D297E" w:rsidRPr="007036C6" w14:paraId="62C59A13" w14:textId="77777777" w:rsidTr="004C5718">
        <w:trPr>
          <w:cantSplit/>
          <w:trHeight w:val="388"/>
        </w:trPr>
        <w:tc>
          <w:tcPr>
            <w:tcW w:w="3501" w:type="dxa"/>
            <w:vMerge w:val="restart"/>
            <w:tcBorders>
              <w:top w:val="single" w:sz="4" w:space="0" w:color="auto"/>
              <w:left w:val="single" w:sz="4" w:space="0" w:color="auto"/>
              <w:bottom w:val="single" w:sz="16" w:space="0" w:color="000000"/>
              <w:right w:val="single" w:sz="4" w:space="0" w:color="auto"/>
            </w:tcBorders>
            <w:shd w:val="clear" w:color="auto" w:fill="FFFFFF"/>
            <w:vAlign w:val="center"/>
          </w:tcPr>
          <w:p w14:paraId="38E8C8F2" w14:textId="7CA29827" w:rsidR="003D297E" w:rsidRPr="007036C6" w:rsidRDefault="003D297E" w:rsidP="003D297E">
            <w:pPr>
              <w:autoSpaceDE w:val="0"/>
              <w:autoSpaceDN w:val="0"/>
              <w:adjustRightInd w:val="0"/>
              <w:ind w:left="60" w:right="60"/>
              <w:rPr>
                <w:b/>
                <w:color w:val="000000"/>
                <w:sz w:val="20"/>
              </w:rPr>
            </w:pPr>
            <w:r w:rsidRPr="007036C6">
              <w:rPr>
                <w:b/>
                <w:color w:val="000000"/>
                <w:sz w:val="20"/>
              </w:rPr>
              <w:t xml:space="preserve">Bartlett's Test </w:t>
            </w:r>
          </w:p>
        </w:tc>
        <w:tc>
          <w:tcPr>
            <w:tcW w:w="3304" w:type="dxa"/>
            <w:tcBorders>
              <w:top w:val="single" w:sz="4" w:space="0" w:color="auto"/>
              <w:left w:val="single" w:sz="4" w:space="0" w:color="auto"/>
              <w:bottom w:val="nil"/>
              <w:right w:val="single" w:sz="4" w:space="0" w:color="auto"/>
            </w:tcBorders>
            <w:shd w:val="clear" w:color="auto" w:fill="FFFFFF"/>
            <w:vAlign w:val="center"/>
          </w:tcPr>
          <w:p w14:paraId="5571BC63" w14:textId="77777777" w:rsidR="003D297E" w:rsidRPr="007036C6" w:rsidRDefault="003D297E" w:rsidP="004C5718">
            <w:pPr>
              <w:autoSpaceDE w:val="0"/>
              <w:autoSpaceDN w:val="0"/>
              <w:adjustRightInd w:val="0"/>
              <w:ind w:left="60" w:right="60"/>
              <w:rPr>
                <w:color w:val="000000"/>
                <w:sz w:val="20"/>
              </w:rPr>
            </w:pPr>
            <w:r w:rsidRPr="007036C6">
              <w:rPr>
                <w:color w:val="000000"/>
                <w:sz w:val="20"/>
              </w:rPr>
              <w:t>Approx. Chi-Square</w:t>
            </w:r>
          </w:p>
        </w:tc>
        <w:tc>
          <w:tcPr>
            <w:tcW w:w="1530" w:type="dxa"/>
            <w:tcBorders>
              <w:top w:val="single" w:sz="4" w:space="0" w:color="auto"/>
              <w:left w:val="single" w:sz="4" w:space="0" w:color="auto"/>
              <w:bottom w:val="nil"/>
              <w:right w:val="single" w:sz="4" w:space="0" w:color="auto"/>
            </w:tcBorders>
            <w:shd w:val="clear" w:color="auto" w:fill="FFFFFF"/>
            <w:vAlign w:val="center"/>
          </w:tcPr>
          <w:p w14:paraId="0754FEF4" w14:textId="5D27854A" w:rsidR="003D297E" w:rsidRPr="007036C6" w:rsidRDefault="003D297E" w:rsidP="004C5718">
            <w:pPr>
              <w:autoSpaceDE w:val="0"/>
              <w:autoSpaceDN w:val="0"/>
              <w:adjustRightInd w:val="0"/>
              <w:ind w:left="60" w:right="60"/>
              <w:jc w:val="right"/>
              <w:rPr>
                <w:color w:val="000000"/>
                <w:sz w:val="20"/>
              </w:rPr>
            </w:pPr>
            <w:r w:rsidRPr="007036C6">
              <w:rPr>
                <w:color w:val="000000"/>
                <w:sz w:val="20"/>
              </w:rPr>
              <w:t>45633.682</w:t>
            </w:r>
          </w:p>
        </w:tc>
      </w:tr>
      <w:tr w:rsidR="003D297E" w:rsidRPr="007036C6" w14:paraId="64BF54C9" w14:textId="77777777" w:rsidTr="004C5718">
        <w:trPr>
          <w:cantSplit/>
          <w:trHeight w:val="178"/>
        </w:trPr>
        <w:tc>
          <w:tcPr>
            <w:tcW w:w="3501" w:type="dxa"/>
            <w:vMerge/>
            <w:tcBorders>
              <w:top w:val="nil"/>
              <w:left w:val="single" w:sz="4" w:space="0" w:color="auto"/>
              <w:bottom w:val="single" w:sz="16" w:space="0" w:color="000000"/>
              <w:right w:val="single" w:sz="4" w:space="0" w:color="auto"/>
            </w:tcBorders>
            <w:shd w:val="clear" w:color="auto" w:fill="FFFFFF"/>
            <w:vAlign w:val="center"/>
          </w:tcPr>
          <w:p w14:paraId="51B4B706" w14:textId="77777777" w:rsidR="003D297E" w:rsidRPr="007036C6" w:rsidRDefault="003D297E" w:rsidP="004C5718">
            <w:pPr>
              <w:autoSpaceDE w:val="0"/>
              <w:autoSpaceDN w:val="0"/>
              <w:adjustRightInd w:val="0"/>
              <w:rPr>
                <w:color w:val="000000"/>
                <w:sz w:val="20"/>
              </w:rPr>
            </w:pPr>
          </w:p>
        </w:tc>
        <w:tc>
          <w:tcPr>
            <w:tcW w:w="3304" w:type="dxa"/>
            <w:tcBorders>
              <w:top w:val="single" w:sz="4" w:space="0" w:color="auto"/>
              <w:left w:val="single" w:sz="4" w:space="0" w:color="auto"/>
              <w:bottom w:val="nil"/>
              <w:right w:val="single" w:sz="4" w:space="0" w:color="auto"/>
            </w:tcBorders>
            <w:shd w:val="clear" w:color="auto" w:fill="FFFFFF"/>
            <w:vAlign w:val="center"/>
          </w:tcPr>
          <w:p w14:paraId="1CDE3F24" w14:textId="77777777" w:rsidR="003D297E" w:rsidRPr="007036C6" w:rsidRDefault="003D297E" w:rsidP="004C5718">
            <w:pPr>
              <w:autoSpaceDE w:val="0"/>
              <w:autoSpaceDN w:val="0"/>
              <w:adjustRightInd w:val="0"/>
              <w:ind w:left="60" w:right="60"/>
              <w:rPr>
                <w:color w:val="000000"/>
                <w:sz w:val="20"/>
              </w:rPr>
            </w:pPr>
            <w:r w:rsidRPr="007036C6">
              <w:rPr>
                <w:color w:val="000000"/>
                <w:sz w:val="20"/>
              </w:rPr>
              <w:t>Df</w:t>
            </w:r>
          </w:p>
        </w:tc>
        <w:tc>
          <w:tcPr>
            <w:tcW w:w="1530" w:type="dxa"/>
            <w:tcBorders>
              <w:top w:val="single" w:sz="4" w:space="0" w:color="auto"/>
              <w:left w:val="single" w:sz="4" w:space="0" w:color="auto"/>
              <w:bottom w:val="nil"/>
              <w:right w:val="single" w:sz="4" w:space="0" w:color="auto"/>
            </w:tcBorders>
            <w:shd w:val="clear" w:color="auto" w:fill="FFFFFF"/>
            <w:vAlign w:val="center"/>
          </w:tcPr>
          <w:p w14:paraId="15291961" w14:textId="6FB16027" w:rsidR="003D297E" w:rsidRPr="007036C6" w:rsidRDefault="003D297E" w:rsidP="004C5718">
            <w:pPr>
              <w:autoSpaceDE w:val="0"/>
              <w:autoSpaceDN w:val="0"/>
              <w:adjustRightInd w:val="0"/>
              <w:ind w:left="60" w:right="60"/>
              <w:jc w:val="right"/>
              <w:rPr>
                <w:color w:val="000000"/>
                <w:sz w:val="20"/>
              </w:rPr>
            </w:pPr>
            <w:r w:rsidRPr="007036C6">
              <w:rPr>
                <w:color w:val="000000"/>
                <w:sz w:val="20"/>
              </w:rPr>
              <w:t>44</w:t>
            </w:r>
          </w:p>
        </w:tc>
      </w:tr>
      <w:tr w:rsidR="003D297E" w:rsidRPr="007036C6" w14:paraId="2489243B" w14:textId="77777777" w:rsidTr="004C5718">
        <w:trPr>
          <w:cantSplit/>
          <w:trHeight w:val="178"/>
        </w:trPr>
        <w:tc>
          <w:tcPr>
            <w:tcW w:w="3501" w:type="dxa"/>
            <w:vMerge/>
            <w:tcBorders>
              <w:top w:val="nil"/>
              <w:left w:val="single" w:sz="4" w:space="0" w:color="auto"/>
              <w:bottom w:val="single" w:sz="4" w:space="0" w:color="auto"/>
              <w:right w:val="single" w:sz="4" w:space="0" w:color="auto"/>
            </w:tcBorders>
            <w:shd w:val="clear" w:color="auto" w:fill="FFFFFF"/>
            <w:vAlign w:val="center"/>
          </w:tcPr>
          <w:p w14:paraId="1B2485DA" w14:textId="77777777" w:rsidR="003D297E" w:rsidRPr="007036C6" w:rsidRDefault="003D297E" w:rsidP="004C5718">
            <w:pPr>
              <w:autoSpaceDE w:val="0"/>
              <w:autoSpaceDN w:val="0"/>
              <w:adjustRightInd w:val="0"/>
              <w:rPr>
                <w:color w:val="000000"/>
                <w:sz w:val="20"/>
              </w:rPr>
            </w:pPr>
          </w:p>
        </w:tc>
        <w:tc>
          <w:tcPr>
            <w:tcW w:w="3304" w:type="dxa"/>
            <w:tcBorders>
              <w:top w:val="single" w:sz="4" w:space="0" w:color="auto"/>
              <w:left w:val="single" w:sz="4" w:space="0" w:color="auto"/>
              <w:bottom w:val="single" w:sz="4" w:space="0" w:color="auto"/>
              <w:right w:val="single" w:sz="4" w:space="0" w:color="auto"/>
            </w:tcBorders>
            <w:shd w:val="clear" w:color="auto" w:fill="FFFFFF"/>
            <w:vAlign w:val="center"/>
          </w:tcPr>
          <w:p w14:paraId="632FC613" w14:textId="77777777" w:rsidR="003D297E" w:rsidRPr="007036C6" w:rsidRDefault="003D297E" w:rsidP="004C5718">
            <w:pPr>
              <w:autoSpaceDE w:val="0"/>
              <w:autoSpaceDN w:val="0"/>
              <w:adjustRightInd w:val="0"/>
              <w:ind w:left="60" w:right="60"/>
              <w:rPr>
                <w:color w:val="000000"/>
                <w:sz w:val="20"/>
              </w:rPr>
            </w:pPr>
            <w:r w:rsidRPr="007036C6">
              <w:rPr>
                <w:color w:val="000000"/>
                <w:sz w:val="20"/>
              </w:rPr>
              <w:t>Sig.</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3ACEA47D" w14:textId="77777777" w:rsidR="003D297E" w:rsidRPr="007036C6" w:rsidRDefault="003D297E" w:rsidP="004C5718">
            <w:pPr>
              <w:autoSpaceDE w:val="0"/>
              <w:autoSpaceDN w:val="0"/>
              <w:adjustRightInd w:val="0"/>
              <w:ind w:left="60" w:right="60"/>
              <w:jc w:val="right"/>
              <w:rPr>
                <w:color w:val="000000"/>
                <w:sz w:val="20"/>
              </w:rPr>
            </w:pPr>
            <w:r w:rsidRPr="007036C6">
              <w:rPr>
                <w:color w:val="000000"/>
                <w:sz w:val="20"/>
              </w:rPr>
              <w:t>.000</w:t>
            </w:r>
          </w:p>
        </w:tc>
      </w:tr>
    </w:tbl>
    <w:p w14:paraId="2598B2B2" w14:textId="0FC68E51" w:rsidR="00675E93" w:rsidRPr="007036C6" w:rsidRDefault="00675E93" w:rsidP="00675E93">
      <w:pPr>
        <w:spacing w:before="60" w:after="120"/>
        <w:jc w:val="both"/>
        <w:rPr>
          <w:sz w:val="20"/>
          <w:lang w:eastAsia="en-GB"/>
        </w:rPr>
      </w:pPr>
      <w:r w:rsidRPr="007036C6">
        <w:rPr>
          <w:i/>
          <w:sz w:val="20"/>
          <w:highlight w:val="yellow"/>
          <w:lang w:eastAsia="en-GB"/>
        </w:rPr>
        <w:t>Source</w:t>
      </w:r>
      <w:r w:rsidRPr="007036C6">
        <w:rPr>
          <w:sz w:val="20"/>
          <w:highlight w:val="yellow"/>
          <w:lang w:eastAsia="en-GB"/>
        </w:rPr>
        <w:t xml:space="preserve">: </w:t>
      </w:r>
      <w:r w:rsidR="00904B91" w:rsidRPr="007036C6">
        <w:rPr>
          <w:sz w:val="20"/>
          <w:highlight w:val="yellow"/>
          <w:lang w:eastAsia="en-GB"/>
        </w:rPr>
        <w:t>Chenery et al. 1994</w:t>
      </w:r>
    </w:p>
    <w:p w14:paraId="5687E09F" w14:textId="4B2F780A" w:rsidR="003D297E" w:rsidRPr="007036C6" w:rsidRDefault="003D297E" w:rsidP="003D297E">
      <w:pPr>
        <w:spacing w:after="120"/>
        <w:jc w:val="both"/>
        <w:rPr>
          <w:sz w:val="22"/>
          <w:szCs w:val="22"/>
        </w:rPr>
      </w:pPr>
      <w:r w:rsidRPr="007036C6">
        <w:rPr>
          <w:sz w:val="22"/>
          <w:szCs w:val="22"/>
        </w:rPr>
        <w:t xml:space="preserve">Using the basic growth–poverty model suggested by </w:t>
      </w:r>
      <w:r w:rsidRPr="007036C6">
        <w:rPr>
          <w:sz w:val="22"/>
          <w:szCs w:val="22"/>
          <w:highlight w:val="yellow"/>
        </w:rPr>
        <w:t>Ravallion (1997; 2008)</w:t>
      </w:r>
      <w:r w:rsidRPr="007036C6">
        <w:rPr>
          <w:sz w:val="22"/>
          <w:szCs w:val="22"/>
        </w:rPr>
        <w:t xml:space="preserve"> and Ravallion &amp; Chen (1997); and the adopted empirical works of Agénor (2004, 2005), Islam (2004), and Anyanwu and Erhijakpor (2010, 2012) the relationship estimated was based on Sachs-Solow growth model which is built around the familiar neoclassical aggregate production function and written as:</w:t>
      </w:r>
    </w:p>
    <w:p w14:paraId="35C117B8" w14:textId="3A5C2AAE" w:rsidR="003D297E" w:rsidRPr="007036C6" w:rsidRDefault="003D297E" w:rsidP="003D297E">
      <w:pPr>
        <w:spacing w:before="120" w:after="120"/>
        <w:jc w:val="right"/>
        <w:rPr>
          <w:sz w:val="22"/>
          <w:szCs w:val="22"/>
        </w:rPr>
      </w:pPr>
      <m:oMath>
        <m:r>
          <w:rPr>
            <w:rFonts w:ascii="Cambria Math" w:hAnsi="Cambria Math"/>
            <w:sz w:val="22"/>
            <w:szCs w:val="22"/>
          </w:rPr>
          <m:t>A=π</m:t>
        </m:r>
        <m:sSup>
          <m:sSupPr>
            <m:ctrlPr>
              <w:rPr>
                <w:rFonts w:ascii="Cambria Math" w:hAnsi="Cambria Math"/>
                <w:sz w:val="22"/>
                <w:szCs w:val="22"/>
              </w:rPr>
            </m:ctrlPr>
          </m:sSupPr>
          <m:e>
            <m:r>
              <w:rPr>
                <w:rFonts w:ascii="Cambria Math" w:hAnsi="Cambria Math"/>
                <w:sz w:val="22"/>
                <w:szCs w:val="22"/>
              </w:rPr>
              <m:t>r</m:t>
            </m:r>
          </m:e>
          <m:sup>
            <m:r>
              <w:rPr>
                <w:rFonts w:ascii="Cambria Math" w:hAnsi="Cambria Math"/>
                <w:sz w:val="22"/>
                <w:szCs w:val="22"/>
              </w:rPr>
              <m:t>2</m:t>
            </m:r>
          </m:sup>
        </m:sSup>
      </m:oMath>
      <w:r w:rsidRPr="007036C6">
        <w:rPr>
          <w:sz w:val="22"/>
          <w:szCs w:val="22"/>
          <w:highlight w:val="yellow"/>
        </w:rPr>
        <w:t xml:space="preserve">                                                           (1)</w:t>
      </w:r>
    </w:p>
    <w:p w14:paraId="7CDE28D4" w14:textId="6EB2E78C" w:rsidR="0064748B" w:rsidRPr="007036C6" w:rsidRDefault="0064748B" w:rsidP="003D297E">
      <w:pPr>
        <w:spacing w:before="120" w:after="120"/>
        <w:jc w:val="right"/>
        <w:rPr>
          <w:sz w:val="22"/>
          <w:szCs w:val="22"/>
        </w:rPr>
      </w:pPr>
      <w:r w:rsidRPr="007036C6">
        <w:rPr>
          <w:bCs/>
          <w:i/>
          <w:sz w:val="20"/>
        </w:rPr>
        <w:t>(</w:t>
      </w:r>
      <w:r w:rsidRPr="007036C6">
        <w:rPr>
          <w:i/>
          <w:iCs/>
          <w:color w:val="FF0000"/>
          <w:sz w:val="20"/>
        </w:rPr>
        <w:t xml:space="preserve">Please </w:t>
      </w:r>
      <w:r w:rsidR="00836C69" w:rsidRPr="007036C6">
        <w:rPr>
          <w:i/>
          <w:iCs/>
          <w:color w:val="FF0000"/>
          <w:sz w:val="20"/>
        </w:rPr>
        <w:t xml:space="preserve">write the equations </w:t>
      </w:r>
      <w:r w:rsidR="005A2716" w:rsidRPr="007036C6">
        <w:rPr>
          <w:i/>
          <w:iCs/>
          <w:color w:val="FF0000"/>
          <w:sz w:val="20"/>
        </w:rPr>
        <w:t>only</w:t>
      </w:r>
      <w:r w:rsidRPr="007036C6">
        <w:rPr>
          <w:i/>
          <w:iCs/>
          <w:color w:val="FF0000"/>
          <w:sz w:val="20"/>
        </w:rPr>
        <w:t xml:space="preserve"> </w:t>
      </w:r>
      <w:r w:rsidR="0090395C" w:rsidRPr="007036C6">
        <w:rPr>
          <w:i/>
          <w:iCs/>
          <w:color w:val="FF0000"/>
          <w:sz w:val="20"/>
        </w:rPr>
        <w:t xml:space="preserve">with </w:t>
      </w:r>
      <w:r w:rsidRPr="007036C6">
        <w:rPr>
          <w:i/>
          <w:iCs/>
          <w:color w:val="FF0000"/>
          <w:sz w:val="20"/>
        </w:rPr>
        <w:t>the Microsoft Equation Editor)</w:t>
      </w:r>
    </w:p>
    <w:p w14:paraId="4BB7AD28" w14:textId="46CDFC61" w:rsidR="003D297E" w:rsidRPr="007036C6" w:rsidRDefault="003D297E" w:rsidP="003D297E">
      <w:pPr>
        <w:spacing w:after="120"/>
        <w:jc w:val="both"/>
        <w:rPr>
          <w:sz w:val="22"/>
          <w:szCs w:val="22"/>
        </w:rPr>
      </w:pPr>
      <w:r w:rsidRPr="007036C6">
        <w:rPr>
          <w:sz w:val="22"/>
          <w:szCs w:val="22"/>
        </w:rPr>
        <w:t>where Y is real output, K is capital, L is the labour input, and At is a measure of exogenously determined “technology.” The aggregate production function is assumed to be “well-behaved,” that is, it satisfie</w:t>
      </w:r>
      <w:r w:rsidR="000B57E7" w:rsidRPr="007036C6">
        <w:rPr>
          <w:sz w:val="22"/>
          <w:szCs w:val="22"/>
        </w:rPr>
        <w:t>s the three “Inada” conditions.</w:t>
      </w:r>
      <w:r w:rsidRPr="007036C6">
        <w:rPr>
          <w:sz w:val="22"/>
          <w:szCs w:val="22"/>
        </w:rPr>
        <w:t xml:space="preserve"> </w:t>
      </w:r>
    </w:p>
    <w:p w14:paraId="6E0C1946" w14:textId="3B5825B2" w:rsidR="00675E93" w:rsidRPr="007036C6" w:rsidRDefault="00675E93" w:rsidP="00675E93">
      <w:pPr>
        <w:spacing w:after="120"/>
        <w:jc w:val="both"/>
        <w:rPr>
          <w:sz w:val="22"/>
          <w:szCs w:val="22"/>
        </w:rPr>
      </w:pPr>
      <w:r w:rsidRPr="007036C6">
        <w:rPr>
          <w:sz w:val="22"/>
          <w:szCs w:val="22"/>
        </w:rPr>
        <w:t xml:space="preserve">The </w:t>
      </w:r>
      <w:r w:rsidRPr="007036C6">
        <w:rPr>
          <w:sz w:val="22"/>
          <w:szCs w:val="22"/>
          <w:highlight w:val="yellow"/>
        </w:rPr>
        <w:t>World Bank (</w:t>
      </w:r>
      <w:r w:rsidR="00100F86" w:rsidRPr="007036C6">
        <w:rPr>
          <w:sz w:val="22"/>
          <w:szCs w:val="22"/>
          <w:highlight w:val="yellow"/>
        </w:rPr>
        <w:t>2</w:t>
      </w:r>
      <w:r w:rsidR="003D2E0A" w:rsidRPr="007036C6">
        <w:rPr>
          <w:sz w:val="22"/>
          <w:szCs w:val="22"/>
          <w:highlight w:val="yellow"/>
        </w:rPr>
        <w:t>019</w:t>
      </w:r>
      <w:r w:rsidR="0049683C" w:rsidRPr="007036C6">
        <w:rPr>
          <w:sz w:val="22"/>
          <w:szCs w:val="22"/>
          <w:highlight w:val="yellow"/>
        </w:rPr>
        <w:t>a</w:t>
      </w:r>
      <w:r w:rsidRPr="007036C6">
        <w:rPr>
          <w:sz w:val="22"/>
          <w:szCs w:val="22"/>
          <w:highlight w:val="yellow"/>
        </w:rPr>
        <w:t xml:space="preserve">; </w:t>
      </w:r>
      <w:r w:rsidR="00100F86" w:rsidRPr="007036C6">
        <w:rPr>
          <w:sz w:val="22"/>
          <w:szCs w:val="22"/>
          <w:highlight w:val="yellow"/>
        </w:rPr>
        <w:t>2</w:t>
      </w:r>
      <w:r w:rsidR="0049683C" w:rsidRPr="007036C6">
        <w:rPr>
          <w:sz w:val="22"/>
          <w:szCs w:val="22"/>
          <w:highlight w:val="yellow"/>
        </w:rPr>
        <w:t>019b</w:t>
      </w:r>
      <w:r w:rsidRPr="007036C6">
        <w:rPr>
          <w:sz w:val="22"/>
          <w:szCs w:val="22"/>
          <w:highlight w:val="yellow"/>
        </w:rPr>
        <w:t>)</w:t>
      </w:r>
      <w:r w:rsidRPr="007036C6">
        <w:rPr>
          <w:sz w:val="22"/>
          <w:szCs w:val="22"/>
        </w:rPr>
        <w:t xml:space="preserve"> emphasizes the need for stable macroeconomic policies and economic growth. To the World Bank, sound fiscal and monetary policies will create a hospitable climate for private investment and thus promote productivity which in the long</w:t>
      </w:r>
      <w:r w:rsidR="001A76AF" w:rsidRPr="007036C6">
        <w:rPr>
          <w:sz w:val="22"/>
          <w:szCs w:val="22"/>
        </w:rPr>
        <w:t xml:space="preserve"> </w:t>
      </w:r>
      <w:r w:rsidRPr="007036C6">
        <w:rPr>
          <w:sz w:val="22"/>
          <w:szCs w:val="22"/>
        </w:rPr>
        <w:t xml:space="preserve">run </w:t>
      </w:r>
      <w:r w:rsidRPr="007036C6">
        <w:rPr>
          <w:sz w:val="22"/>
          <w:szCs w:val="22"/>
        </w:rPr>
        <w:lastRenderedPageBreak/>
        <w:t>would lead to poverty reduction (Dollar and Kraay 2000; Sandstorm 1994; Edwards 1995). This approach is what is referred to as pro-poor growth approach to poverty reduction</w:t>
      </w:r>
      <w:r w:rsidR="00611F1B" w:rsidRPr="007036C6">
        <w:rPr>
          <w:sz w:val="22"/>
          <w:szCs w:val="22"/>
        </w:rPr>
        <w:t xml:space="preserve"> </w:t>
      </w:r>
      <w:r w:rsidR="00611F1B" w:rsidRPr="007036C6">
        <w:rPr>
          <w:sz w:val="22"/>
          <w:szCs w:val="22"/>
          <w:highlight w:val="yellow"/>
        </w:rPr>
        <w:t>(Figure 1)</w:t>
      </w:r>
      <w:r w:rsidRPr="007036C6">
        <w:rPr>
          <w:sz w:val="22"/>
          <w:szCs w:val="22"/>
        </w:rPr>
        <w:t>.</w:t>
      </w:r>
    </w:p>
    <w:p w14:paraId="61327EA0" w14:textId="77777777" w:rsidR="00675E93" w:rsidRPr="007036C6" w:rsidRDefault="00675E93" w:rsidP="00675E93">
      <w:pPr>
        <w:jc w:val="center"/>
        <w:rPr>
          <w:sz w:val="24"/>
          <w:szCs w:val="24"/>
        </w:rPr>
      </w:pPr>
      <w:r w:rsidRPr="007036C6">
        <w:rPr>
          <w:noProof/>
          <w:sz w:val="24"/>
          <w:szCs w:val="24"/>
          <w:lang w:eastAsia="en-US"/>
        </w:rPr>
        <w:drawing>
          <wp:inline distT="0" distB="0" distL="0" distR="0" wp14:anchorId="7D8F831C" wp14:editId="532DC087">
            <wp:extent cx="5131558" cy="2088107"/>
            <wp:effectExtent l="0" t="0" r="0" b="762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930A50D" w14:textId="2C828703" w:rsidR="00675E93" w:rsidRPr="007036C6" w:rsidRDefault="00675E93" w:rsidP="00675E93">
      <w:pPr>
        <w:spacing w:after="60"/>
        <w:jc w:val="center"/>
        <w:rPr>
          <w:sz w:val="20"/>
          <w:highlight w:val="yellow"/>
        </w:rPr>
      </w:pPr>
      <w:r w:rsidRPr="007036C6">
        <w:rPr>
          <w:b/>
          <w:sz w:val="20"/>
          <w:highlight w:val="yellow"/>
        </w:rPr>
        <w:t>Fig. 1.</w:t>
      </w:r>
      <w:r w:rsidRPr="007036C6">
        <w:rPr>
          <w:sz w:val="20"/>
          <w:highlight w:val="yellow"/>
        </w:rPr>
        <w:t xml:space="preserve"> Employment and ANE in the</w:t>
      </w:r>
      <w:r w:rsidR="00696BDF" w:rsidRPr="007036C6">
        <w:rPr>
          <w:sz w:val="20"/>
          <w:highlight w:val="yellow"/>
        </w:rPr>
        <w:t xml:space="preserve"> manufacturing industry, 2000-</w:t>
      </w:r>
      <w:r w:rsidRPr="007036C6">
        <w:rPr>
          <w:sz w:val="20"/>
          <w:highlight w:val="yellow"/>
        </w:rPr>
        <w:t>2015 (thousand persons)</w:t>
      </w:r>
    </w:p>
    <w:p w14:paraId="0A38D744" w14:textId="37E0B598" w:rsidR="00675E93" w:rsidRPr="007036C6" w:rsidRDefault="00675E93" w:rsidP="00675E93">
      <w:pPr>
        <w:spacing w:before="60" w:after="120"/>
        <w:jc w:val="both"/>
        <w:rPr>
          <w:b/>
          <w:bCs/>
          <w:sz w:val="25"/>
          <w:szCs w:val="25"/>
        </w:rPr>
      </w:pPr>
      <w:r w:rsidRPr="007036C6">
        <w:rPr>
          <w:i/>
          <w:sz w:val="20"/>
          <w:highlight w:val="yellow"/>
        </w:rPr>
        <w:t>Source</w:t>
      </w:r>
      <w:r w:rsidRPr="007036C6">
        <w:rPr>
          <w:sz w:val="20"/>
          <w:highlight w:val="yellow"/>
        </w:rPr>
        <w:t xml:space="preserve">: </w:t>
      </w:r>
      <w:r w:rsidR="00B10FC8" w:rsidRPr="007036C6">
        <w:rPr>
          <w:sz w:val="20"/>
          <w:highlight w:val="yellow"/>
        </w:rPr>
        <w:tab/>
        <w:t>Jackson</w:t>
      </w:r>
      <w:r w:rsidR="008A49CB" w:rsidRPr="007036C6">
        <w:rPr>
          <w:sz w:val="20"/>
          <w:highlight w:val="yellow"/>
        </w:rPr>
        <w:t xml:space="preserve">, </w:t>
      </w:r>
      <w:r w:rsidR="00B10FC8" w:rsidRPr="007036C6">
        <w:rPr>
          <w:sz w:val="20"/>
          <w:highlight w:val="yellow"/>
        </w:rPr>
        <w:t>2019.</w:t>
      </w:r>
    </w:p>
    <w:p w14:paraId="286C90D4" w14:textId="77777777" w:rsidR="00675E93" w:rsidRPr="007036C6" w:rsidRDefault="00675E93" w:rsidP="00675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rPr>
      </w:pPr>
      <w:r w:rsidRPr="007036C6">
        <w:rPr>
          <w:color w:val="212121"/>
          <w:sz w:val="22"/>
          <w:szCs w:val="22"/>
        </w:rPr>
        <w:t>Under this program, the main issues addressed by allocated Community funding are:</w:t>
      </w:r>
    </w:p>
    <w:p w14:paraId="67FCD839" w14:textId="1C61DAF1" w:rsidR="00675E93" w:rsidRPr="007036C6" w:rsidRDefault="00EF45F9" w:rsidP="00675E93">
      <w:pPr>
        <w:pStyle w:val="ListParagraph"/>
        <w:numPr>
          <w:ilvl w:val="0"/>
          <w:numId w:val="3"/>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contextualSpacing w:val="0"/>
        <w:jc w:val="both"/>
        <w:rPr>
          <w:rFonts w:ascii="Times New Roman" w:eastAsia="Times New Roman" w:hAnsi="Times New Roman"/>
          <w:color w:val="212121"/>
        </w:rPr>
      </w:pPr>
      <w:r w:rsidRPr="007036C6">
        <w:rPr>
          <w:rFonts w:ascii="Times New Roman" w:eastAsia="Times New Roman" w:hAnsi="Times New Roman"/>
          <w:color w:val="212121"/>
        </w:rPr>
        <w:t xml:space="preserve">Modest </w:t>
      </w:r>
      <w:r w:rsidR="00675E93" w:rsidRPr="007036C6">
        <w:rPr>
          <w:rFonts w:ascii="Times New Roman" w:eastAsia="Times New Roman" w:hAnsi="Times New Roman"/>
          <w:color w:val="212121"/>
        </w:rPr>
        <w:t xml:space="preserve">R &amp; D and innovation performance, low demand for business for the results of these activities, and hence </w:t>
      </w:r>
      <w:r w:rsidR="00501FD7" w:rsidRPr="007036C6">
        <w:rPr>
          <w:rFonts w:ascii="Times New Roman" w:eastAsia="Times New Roman" w:hAnsi="Times New Roman"/>
          <w:color w:val="212121"/>
        </w:rPr>
        <w:t xml:space="preserve">the </w:t>
      </w:r>
      <w:r w:rsidR="00675E93" w:rsidRPr="007036C6">
        <w:rPr>
          <w:rFonts w:ascii="Times New Roman" w:eastAsia="Times New Roman" w:hAnsi="Times New Roman"/>
          <w:color w:val="212121"/>
        </w:rPr>
        <w:t>limited transfer of R &amp; D results to businesses;</w:t>
      </w:r>
    </w:p>
    <w:p w14:paraId="6A000049" w14:textId="573A5594" w:rsidR="00675E93" w:rsidRPr="007036C6" w:rsidRDefault="00EF45F9" w:rsidP="00675E93">
      <w:pPr>
        <w:pStyle w:val="ListParagraph"/>
        <w:numPr>
          <w:ilvl w:val="0"/>
          <w:numId w:val="3"/>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contextualSpacing w:val="0"/>
        <w:jc w:val="both"/>
        <w:rPr>
          <w:rFonts w:ascii="Times New Roman" w:eastAsia="Times New Roman" w:hAnsi="Times New Roman"/>
          <w:color w:val="212121"/>
        </w:rPr>
      </w:pPr>
      <w:r w:rsidRPr="007036C6">
        <w:rPr>
          <w:rFonts w:ascii="Times New Roman" w:eastAsia="Times New Roman" w:hAnsi="Times New Roman"/>
          <w:color w:val="212121"/>
        </w:rPr>
        <w:t xml:space="preserve">Reduced </w:t>
      </w:r>
      <w:r w:rsidR="00675E93" w:rsidRPr="007036C6">
        <w:rPr>
          <w:rFonts w:ascii="Times New Roman" w:eastAsia="Times New Roman" w:hAnsi="Times New Roman"/>
          <w:color w:val="212121"/>
        </w:rPr>
        <w:t xml:space="preserve">entrepreneurial culture, the limited ability of many </w:t>
      </w:r>
      <w:r w:rsidR="00501FD7" w:rsidRPr="007036C6">
        <w:rPr>
          <w:rFonts w:ascii="Times New Roman" w:eastAsia="Times New Roman" w:hAnsi="Times New Roman"/>
          <w:color w:val="212121"/>
        </w:rPr>
        <w:t>SME</w:t>
      </w:r>
      <w:r w:rsidRPr="007036C6">
        <w:rPr>
          <w:rFonts w:ascii="Times New Roman" w:eastAsia="Times New Roman" w:hAnsi="Times New Roman"/>
          <w:color w:val="212121"/>
        </w:rPr>
        <w:t xml:space="preserve">s </w:t>
      </w:r>
      <w:r w:rsidR="00675E93" w:rsidRPr="007036C6">
        <w:rPr>
          <w:rFonts w:ascii="Times New Roman" w:eastAsia="Times New Roman" w:hAnsi="Times New Roman"/>
          <w:color w:val="212121"/>
        </w:rPr>
        <w:t>to withstand the market, the modest competitiveness of most enterprises included in this dimensional category;</w:t>
      </w:r>
    </w:p>
    <w:p w14:paraId="1D17DAD8" w14:textId="3E1EFECB" w:rsidR="00675E93" w:rsidRPr="007036C6" w:rsidRDefault="00EF45F9" w:rsidP="00675E93">
      <w:pPr>
        <w:pStyle w:val="ListParagraph"/>
        <w:numPr>
          <w:ilvl w:val="0"/>
          <w:numId w:val="3"/>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contextualSpacing w:val="0"/>
        <w:jc w:val="both"/>
        <w:rPr>
          <w:rFonts w:ascii="Times New Roman" w:eastAsia="Times New Roman" w:hAnsi="Times New Roman"/>
          <w:color w:val="212121"/>
        </w:rPr>
      </w:pPr>
      <w:r w:rsidRPr="007036C6">
        <w:rPr>
          <w:rFonts w:ascii="Times New Roman" w:eastAsia="Times New Roman" w:hAnsi="Times New Roman"/>
          <w:color w:val="212121"/>
        </w:rPr>
        <w:t xml:space="preserve">The </w:t>
      </w:r>
      <w:r w:rsidR="00675E93" w:rsidRPr="007036C6">
        <w:rPr>
          <w:rFonts w:ascii="Times New Roman" w:eastAsia="Times New Roman" w:hAnsi="Times New Roman"/>
          <w:color w:val="212121"/>
        </w:rPr>
        <w:t>poor condition of infrastructure, low accessibility of many areas;</w:t>
      </w:r>
    </w:p>
    <w:p w14:paraId="373360A5" w14:textId="0D48A9F2" w:rsidR="00675E93" w:rsidRPr="007036C6" w:rsidRDefault="00EF45F9" w:rsidP="00675E93">
      <w:pPr>
        <w:pStyle w:val="ListParagraph"/>
        <w:numPr>
          <w:ilvl w:val="0"/>
          <w:numId w:val="3"/>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contextualSpacing w:val="0"/>
        <w:jc w:val="both"/>
        <w:rPr>
          <w:rFonts w:ascii="Times New Roman" w:eastAsia="Times New Roman" w:hAnsi="Times New Roman"/>
          <w:color w:val="212121"/>
        </w:rPr>
      </w:pPr>
      <w:r w:rsidRPr="007036C6">
        <w:rPr>
          <w:rFonts w:ascii="Times New Roman" w:eastAsia="Times New Roman" w:hAnsi="Times New Roman"/>
          <w:color w:val="212121"/>
        </w:rPr>
        <w:t xml:space="preserve">Considerable </w:t>
      </w:r>
      <w:r w:rsidR="00675E93" w:rsidRPr="007036C6">
        <w:rPr>
          <w:rFonts w:ascii="Times New Roman" w:eastAsia="Times New Roman" w:hAnsi="Times New Roman"/>
          <w:color w:val="212121"/>
        </w:rPr>
        <w:t>potential for increasing energy efficiency, which, although in improvement, has numerous reserves to be capitalized and which consists in significantly reducing consumption in economic activity, public infrastructure</w:t>
      </w:r>
      <w:r w:rsidR="00A702E5" w:rsidRPr="007036C6">
        <w:rPr>
          <w:rFonts w:ascii="Times New Roman" w:eastAsia="Times New Roman" w:hAnsi="Times New Roman"/>
          <w:color w:val="212121"/>
        </w:rPr>
        <w:t>,</w:t>
      </w:r>
      <w:r w:rsidR="00675E93" w:rsidRPr="007036C6">
        <w:rPr>
          <w:rFonts w:ascii="Times New Roman" w:eastAsia="Times New Roman" w:hAnsi="Times New Roman"/>
          <w:color w:val="212121"/>
        </w:rPr>
        <w:t xml:space="preserve"> and population;</w:t>
      </w:r>
    </w:p>
    <w:p w14:paraId="490F5B0E" w14:textId="6D919545" w:rsidR="00675E93" w:rsidRPr="007036C6" w:rsidRDefault="00EF45F9" w:rsidP="00675E93">
      <w:pPr>
        <w:pStyle w:val="ListParagraph"/>
        <w:numPr>
          <w:ilvl w:val="0"/>
          <w:numId w:val="3"/>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contextualSpacing w:val="0"/>
        <w:jc w:val="both"/>
        <w:rPr>
          <w:rFonts w:ascii="Times New Roman" w:eastAsia="Times New Roman" w:hAnsi="Times New Roman"/>
          <w:color w:val="212121"/>
        </w:rPr>
      </w:pPr>
      <w:r w:rsidRPr="007036C6">
        <w:rPr>
          <w:rFonts w:ascii="Times New Roman" w:eastAsia="Times New Roman" w:hAnsi="Times New Roman"/>
          <w:color w:val="212121"/>
        </w:rPr>
        <w:t xml:space="preserve">Poor </w:t>
      </w:r>
      <w:r w:rsidR="00675E93" w:rsidRPr="007036C6">
        <w:rPr>
          <w:rFonts w:ascii="Times New Roman" w:eastAsia="Times New Roman" w:hAnsi="Times New Roman"/>
          <w:color w:val="212121"/>
        </w:rPr>
        <w:t>environmental protection, high pollution in large urban areas;</w:t>
      </w:r>
    </w:p>
    <w:p w14:paraId="6D24FC01" w14:textId="13CE2338" w:rsidR="00675E93" w:rsidRPr="007036C6" w:rsidRDefault="00EF45F9" w:rsidP="00675E93">
      <w:pPr>
        <w:pStyle w:val="ListParagraph"/>
        <w:numPr>
          <w:ilvl w:val="0"/>
          <w:numId w:val="3"/>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contextualSpacing w:val="0"/>
        <w:jc w:val="both"/>
        <w:rPr>
          <w:rFonts w:ascii="Times New Roman" w:eastAsia="Times New Roman" w:hAnsi="Times New Roman"/>
          <w:color w:val="212121"/>
        </w:rPr>
      </w:pPr>
      <w:r w:rsidRPr="007036C6">
        <w:rPr>
          <w:rFonts w:ascii="Times New Roman" w:eastAsia="Times New Roman" w:hAnsi="Times New Roman"/>
          <w:color w:val="212121"/>
        </w:rPr>
        <w:t>Under</w:t>
      </w:r>
      <w:r w:rsidR="00675E93" w:rsidRPr="007036C6">
        <w:rPr>
          <w:rFonts w:ascii="Times New Roman" w:eastAsia="Times New Roman" w:hAnsi="Times New Roman"/>
          <w:color w:val="212121"/>
        </w:rPr>
        <w:t>-dimensioning and poor quality of educational, health</w:t>
      </w:r>
      <w:r w:rsidR="00A702E5" w:rsidRPr="007036C6">
        <w:rPr>
          <w:rFonts w:ascii="Times New Roman" w:eastAsia="Times New Roman" w:hAnsi="Times New Roman"/>
          <w:color w:val="212121"/>
        </w:rPr>
        <w:t>,</w:t>
      </w:r>
      <w:r w:rsidR="00675E93" w:rsidRPr="007036C6">
        <w:rPr>
          <w:rFonts w:ascii="Times New Roman" w:eastAsia="Times New Roman" w:hAnsi="Times New Roman"/>
          <w:color w:val="212121"/>
        </w:rPr>
        <w:t xml:space="preserve"> and social services infrastructure;</w:t>
      </w:r>
    </w:p>
    <w:p w14:paraId="3EE49CFD" w14:textId="796E5A5D" w:rsidR="00675E93" w:rsidRPr="007036C6" w:rsidRDefault="00EF45F9" w:rsidP="00675E93">
      <w:pPr>
        <w:pStyle w:val="ListParagraph"/>
        <w:numPr>
          <w:ilvl w:val="0"/>
          <w:numId w:val="3"/>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426"/>
        <w:contextualSpacing w:val="0"/>
        <w:jc w:val="both"/>
        <w:rPr>
          <w:rFonts w:ascii="Times New Roman" w:eastAsia="Times New Roman" w:hAnsi="Times New Roman"/>
          <w:color w:val="212121"/>
        </w:rPr>
      </w:pPr>
      <w:r w:rsidRPr="007036C6">
        <w:rPr>
          <w:rFonts w:ascii="Times New Roman" w:eastAsia="Times New Roman" w:hAnsi="Times New Roman"/>
          <w:color w:val="212121"/>
        </w:rPr>
        <w:t>Existence</w:t>
      </w:r>
      <w:r w:rsidR="00675E93" w:rsidRPr="007036C6">
        <w:rPr>
          <w:rFonts w:ascii="Times New Roman" w:eastAsia="Times New Roman" w:hAnsi="Times New Roman"/>
          <w:color w:val="212121"/>
        </w:rPr>
        <w:t xml:space="preserve"> of many degraded urban areas </w:t>
      </w:r>
      <w:r w:rsidR="00D74722" w:rsidRPr="007036C6">
        <w:rPr>
          <w:rFonts w:ascii="Times New Roman" w:eastAsia="Times New Roman" w:hAnsi="Times New Roman"/>
          <w:color w:val="212121"/>
        </w:rPr>
        <w:t>concerning</w:t>
      </w:r>
      <w:r w:rsidR="00675E93" w:rsidRPr="007036C6">
        <w:rPr>
          <w:rFonts w:ascii="Times New Roman" w:eastAsia="Times New Roman" w:hAnsi="Times New Roman"/>
          <w:color w:val="212121"/>
        </w:rPr>
        <w:t xml:space="preserve"> housing and public utilities.</w:t>
      </w:r>
    </w:p>
    <w:p w14:paraId="63675BAB" w14:textId="622BAFAE" w:rsidR="00675E93" w:rsidRPr="007036C6" w:rsidRDefault="00675E93" w:rsidP="00675E93">
      <w:pPr>
        <w:autoSpaceDE w:val="0"/>
        <w:autoSpaceDN w:val="0"/>
        <w:adjustRightInd w:val="0"/>
        <w:spacing w:before="400" w:after="220"/>
        <w:jc w:val="both"/>
        <w:rPr>
          <w:b/>
          <w:szCs w:val="28"/>
        </w:rPr>
      </w:pPr>
      <w:r w:rsidRPr="007036C6">
        <w:rPr>
          <w:b/>
          <w:szCs w:val="28"/>
        </w:rPr>
        <w:t>Conclusions</w:t>
      </w:r>
      <w:r w:rsidR="00D2351E" w:rsidRPr="007036C6">
        <w:rPr>
          <w:b/>
          <w:szCs w:val="28"/>
        </w:rPr>
        <w:t xml:space="preserve"> </w:t>
      </w:r>
      <w:r w:rsidR="00D2351E" w:rsidRPr="007036C6">
        <w:rPr>
          <w:b/>
          <w:bCs/>
          <w:szCs w:val="28"/>
          <w:highlight w:val="yellow"/>
        </w:rPr>
        <w:t>[Mandatory chapter]</w:t>
      </w:r>
    </w:p>
    <w:p w14:paraId="2AF1833B" w14:textId="0065066B" w:rsidR="001B3C59" w:rsidRPr="007036C6" w:rsidRDefault="001B3C59" w:rsidP="001B3C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rPr>
      </w:pPr>
      <w:r w:rsidRPr="007036C6">
        <w:rPr>
          <w:color w:val="212121"/>
          <w:sz w:val="22"/>
          <w:szCs w:val="22"/>
        </w:rPr>
        <w:t>Based on the finding of this paper, the authors draw the attention of university authorit</w:t>
      </w:r>
      <w:r w:rsidR="003C4CD0" w:rsidRPr="007036C6">
        <w:rPr>
          <w:color w:val="212121"/>
          <w:sz w:val="22"/>
          <w:szCs w:val="22"/>
        </w:rPr>
        <w:t>ies</w:t>
      </w:r>
      <w:r w:rsidRPr="007036C6">
        <w:rPr>
          <w:color w:val="212121"/>
          <w:sz w:val="22"/>
          <w:szCs w:val="22"/>
        </w:rPr>
        <w:t xml:space="preserve"> and policymakers to give several suggestions to improve the job satisfaction level of academic staff: (i) job should be designed in such a way that teachers get a sense of accomplishment as well as challenging and satisfying work; (ii) ensuring such a work environment that teachers can easily establish a smooth, friendly and co-operative relationship with co-workers; (iii) giving emphasize on fair pay, prom</w:t>
      </w:r>
      <w:r w:rsidR="005E44E3" w:rsidRPr="007036C6">
        <w:rPr>
          <w:color w:val="212121"/>
          <w:sz w:val="22"/>
          <w:szCs w:val="22"/>
        </w:rPr>
        <w:t>otion, and quality supervision.</w:t>
      </w:r>
    </w:p>
    <w:p w14:paraId="3EB3DFDB" w14:textId="77777777" w:rsidR="005E44E3" w:rsidRPr="007036C6" w:rsidRDefault="005E44E3" w:rsidP="001B3C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rPr>
      </w:pPr>
    </w:p>
    <w:p w14:paraId="0F348D16" w14:textId="05C2B3EF" w:rsidR="00675E93" w:rsidRPr="007036C6" w:rsidRDefault="00675E93" w:rsidP="00675E93">
      <w:pPr>
        <w:autoSpaceDE w:val="0"/>
        <w:autoSpaceDN w:val="0"/>
        <w:adjustRightInd w:val="0"/>
        <w:spacing w:before="400" w:after="220"/>
        <w:jc w:val="both"/>
        <w:rPr>
          <w:bCs/>
          <w:color w:val="FF0000"/>
          <w:sz w:val="22"/>
          <w:szCs w:val="22"/>
        </w:rPr>
      </w:pPr>
      <w:r w:rsidRPr="007036C6">
        <w:rPr>
          <w:b/>
          <w:szCs w:val="28"/>
        </w:rPr>
        <w:t xml:space="preserve">References </w:t>
      </w:r>
      <w:r w:rsidR="00A60E9E" w:rsidRPr="007036C6">
        <w:rPr>
          <w:b/>
          <w:bCs/>
          <w:szCs w:val="28"/>
          <w:highlight w:val="yellow"/>
        </w:rPr>
        <w:t>[Mandatory chapter]</w:t>
      </w:r>
      <w:r w:rsidR="00A60E9E" w:rsidRPr="007036C6">
        <w:rPr>
          <w:b/>
          <w:szCs w:val="28"/>
        </w:rPr>
        <w:t xml:space="preserve"> </w:t>
      </w:r>
      <w:r w:rsidRPr="007036C6">
        <w:rPr>
          <w:b/>
          <w:szCs w:val="28"/>
        </w:rPr>
        <w:t>[</w:t>
      </w:r>
      <w:r w:rsidR="00A57A4A" w:rsidRPr="007036C6">
        <w:rPr>
          <w:b/>
          <w:szCs w:val="28"/>
        </w:rPr>
        <w:t>APA</w:t>
      </w:r>
      <w:r w:rsidRPr="007036C6">
        <w:rPr>
          <w:b/>
          <w:szCs w:val="28"/>
        </w:rPr>
        <w:t xml:space="preserve"> STYLE] </w:t>
      </w:r>
      <w:r w:rsidR="00603CE3" w:rsidRPr="007036C6">
        <w:rPr>
          <w:i/>
          <w:color w:val="FF0000"/>
          <w:sz w:val="22"/>
          <w:szCs w:val="28"/>
        </w:rPr>
        <w:t>(Alphabetic order)</w:t>
      </w:r>
      <w:r w:rsidR="00603CE3" w:rsidRPr="007036C6">
        <w:rPr>
          <w:b/>
          <w:sz w:val="22"/>
          <w:szCs w:val="28"/>
        </w:rPr>
        <w:t xml:space="preserve"> </w:t>
      </w:r>
      <w:r w:rsidRPr="007036C6">
        <w:rPr>
          <w:bCs/>
          <w:color w:val="FF0000"/>
          <w:sz w:val="22"/>
          <w:szCs w:val="22"/>
        </w:rPr>
        <w:t>(</w:t>
      </w:r>
      <w:r w:rsidR="008F515A" w:rsidRPr="007036C6">
        <w:rPr>
          <w:bCs/>
          <w:i/>
          <w:color w:val="FF0000"/>
          <w:sz w:val="22"/>
          <w:szCs w:val="22"/>
        </w:rPr>
        <w:t>APA</w:t>
      </w:r>
      <w:r w:rsidRPr="007036C6">
        <w:rPr>
          <w:bCs/>
          <w:i/>
          <w:color w:val="FF0000"/>
          <w:sz w:val="22"/>
          <w:szCs w:val="22"/>
        </w:rPr>
        <w:t xml:space="preserve"> Style is </w:t>
      </w:r>
      <w:r w:rsidR="00092C0A" w:rsidRPr="007036C6">
        <w:rPr>
          <w:bCs/>
          <w:i/>
          <w:color w:val="FF0000"/>
          <w:sz w:val="22"/>
          <w:szCs w:val="22"/>
        </w:rPr>
        <w:t>mandatory</w:t>
      </w:r>
      <w:r w:rsidRPr="007036C6">
        <w:rPr>
          <w:bCs/>
          <w:i/>
          <w:color w:val="FF0000"/>
          <w:sz w:val="22"/>
          <w:szCs w:val="22"/>
        </w:rPr>
        <w:t xml:space="preserve">, </w:t>
      </w:r>
      <w:r w:rsidR="007D5EE3" w:rsidRPr="007036C6">
        <w:rPr>
          <w:bCs/>
          <w:i/>
          <w:color w:val="FF0000"/>
          <w:sz w:val="22"/>
          <w:szCs w:val="22"/>
        </w:rPr>
        <w:t>please access</w:t>
      </w:r>
      <w:r w:rsidRPr="007036C6">
        <w:rPr>
          <w:bCs/>
          <w:i/>
          <w:color w:val="FF0000"/>
          <w:sz w:val="22"/>
          <w:szCs w:val="22"/>
        </w:rPr>
        <w:t xml:space="preserve"> </w:t>
      </w:r>
      <w:hyperlink r:id="rId20" w:history="1">
        <w:r w:rsidRPr="007036C6">
          <w:rPr>
            <w:rStyle w:val="Hyperlink"/>
            <w:bCs/>
            <w:i/>
            <w:sz w:val="22"/>
            <w:szCs w:val="22"/>
          </w:rPr>
          <w:t>link</w:t>
        </w:r>
      </w:hyperlink>
      <w:r w:rsidRPr="007036C6">
        <w:rPr>
          <w:bCs/>
          <w:color w:val="FF0000"/>
          <w:sz w:val="22"/>
          <w:szCs w:val="22"/>
        </w:rPr>
        <w:t>)</w:t>
      </w:r>
    </w:p>
    <w:p w14:paraId="29506A4F" w14:textId="66DE3692" w:rsidR="00BA05BC" w:rsidRPr="007036C6" w:rsidRDefault="00BA05BC" w:rsidP="00675E93">
      <w:pPr>
        <w:autoSpaceDE w:val="0"/>
        <w:autoSpaceDN w:val="0"/>
        <w:adjustRightInd w:val="0"/>
        <w:spacing w:before="400" w:after="220"/>
        <w:jc w:val="both"/>
        <w:rPr>
          <w:bCs/>
          <w:i/>
          <w:color w:val="FF0000"/>
          <w:sz w:val="22"/>
          <w:szCs w:val="22"/>
        </w:rPr>
      </w:pPr>
      <w:r w:rsidRPr="007036C6">
        <w:rPr>
          <w:bCs/>
          <w:i/>
          <w:color w:val="FF0000"/>
          <w:sz w:val="22"/>
          <w:szCs w:val="22"/>
        </w:rPr>
        <w:t xml:space="preserve">Journal article with </w:t>
      </w:r>
      <w:r w:rsidR="002573DD" w:rsidRPr="007036C6">
        <w:rPr>
          <w:bCs/>
          <w:i/>
          <w:color w:val="FF0000"/>
          <w:sz w:val="22"/>
          <w:szCs w:val="22"/>
        </w:rPr>
        <w:t>DOI</w:t>
      </w:r>
    </w:p>
    <w:p w14:paraId="1B7B92D3" w14:textId="21648CB6" w:rsidR="00383D57" w:rsidRPr="007036C6" w:rsidRDefault="00495E99" w:rsidP="00383D57">
      <w:pPr>
        <w:pStyle w:val="ListParagraph"/>
        <w:numPr>
          <w:ilvl w:val="0"/>
          <w:numId w:val="2"/>
        </w:numPr>
        <w:tabs>
          <w:tab w:val="left" w:pos="426"/>
        </w:tabs>
        <w:spacing w:after="0" w:line="240" w:lineRule="auto"/>
        <w:ind w:left="426"/>
        <w:jc w:val="both"/>
        <w:rPr>
          <w:rFonts w:ascii="Times New Roman" w:hAnsi="Times New Roman"/>
          <w:sz w:val="20"/>
          <w:szCs w:val="20"/>
        </w:rPr>
      </w:pPr>
      <w:r w:rsidRPr="007036C6">
        <w:rPr>
          <w:rFonts w:ascii="Times New Roman" w:hAnsi="Times New Roman"/>
          <w:sz w:val="20"/>
          <w:szCs w:val="20"/>
        </w:rPr>
        <w:t>B</w:t>
      </w:r>
      <w:r w:rsidR="00383D57" w:rsidRPr="007036C6">
        <w:rPr>
          <w:rFonts w:ascii="Times New Roman" w:hAnsi="Times New Roman"/>
          <w:sz w:val="20"/>
          <w:szCs w:val="20"/>
        </w:rPr>
        <w:t xml:space="preserve">rady, J. S., Her, M., Moreno, G., Perez, C., &amp; Yelinek, J. (2019). Emotions in storybooks: A comparison of storybooks that represent ethnic and racial groups in the United States. </w:t>
      </w:r>
      <w:r w:rsidR="00383D57" w:rsidRPr="007036C6">
        <w:rPr>
          <w:rFonts w:ascii="Times New Roman" w:hAnsi="Times New Roman"/>
          <w:i/>
          <w:sz w:val="20"/>
          <w:szCs w:val="20"/>
        </w:rPr>
        <w:t>Psychology of Popular Media Culture</w:t>
      </w:r>
      <w:r w:rsidR="00383D57" w:rsidRPr="007036C6">
        <w:rPr>
          <w:rFonts w:ascii="Times New Roman" w:hAnsi="Times New Roman"/>
          <w:sz w:val="20"/>
          <w:szCs w:val="20"/>
        </w:rPr>
        <w:t xml:space="preserve">, </w:t>
      </w:r>
      <w:r w:rsidR="00383D57" w:rsidRPr="007036C6">
        <w:rPr>
          <w:rFonts w:ascii="Times New Roman" w:hAnsi="Times New Roman"/>
          <w:i/>
          <w:sz w:val="20"/>
          <w:szCs w:val="20"/>
        </w:rPr>
        <w:t>8</w:t>
      </w:r>
      <w:r w:rsidR="00383D57" w:rsidRPr="007036C6">
        <w:rPr>
          <w:rFonts w:ascii="Times New Roman" w:hAnsi="Times New Roman"/>
          <w:sz w:val="20"/>
          <w:szCs w:val="20"/>
        </w:rPr>
        <w:t xml:space="preserve">(3), 207–217. </w:t>
      </w:r>
      <w:hyperlink r:id="rId21" w:history="1">
        <w:r w:rsidR="00383D57" w:rsidRPr="007036C6">
          <w:rPr>
            <w:rStyle w:val="Hyperlink"/>
            <w:rFonts w:ascii="Times New Roman" w:hAnsi="Times New Roman"/>
            <w:color w:val="auto"/>
            <w:sz w:val="20"/>
            <w:szCs w:val="20"/>
            <w:u w:val="none"/>
          </w:rPr>
          <w:t>https://doi.org/10.1037/ppm0000185</w:t>
        </w:r>
      </w:hyperlink>
    </w:p>
    <w:p w14:paraId="2CFC8C97" w14:textId="7B03D525" w:rsidR="004E2731" w:rsidRPr="007036C6" w:rsidRDefault="00495E99" w:rsidP="004E2731">
      <w:pPr>
        <w:pStyle w:val="ListParagraph"/>
        <w:numPr>
          <w:ilvl w:val="0"/>
          <w:numId w:val="2"/>
        </w:numPr>
        <w:tabs>
          <w:tab w:val="left" w:pos="426"/>
        </w:tabs>
        <w:spacing w:after="0" w:line="240" w:lineRule="auto"/>
        <w:ind w:left="426"/>
        <w:jc w:val="both"/>
        <w:rPr>
          <w:rStyle w:val="Hyperlink"/>
          <w:rFonts w:ascii="Times New Roman" w:hAnsi="Times New Roman"/>
          <w:color w:val="auto"/>
          <w:sz w:val="20"/>
          <w:szCs w:val="20"/>
          <w:u w:val="none"/>
        </w:rPr>
      </w:pPr>
      <w:r w:rsidRPr="007036C6">
        <w:rPr>
          <w:rFonts w:ascii="Times New Roman" w:hAnsi="Times New Roman"/>
          <w:sz w:val="20"/>
          <w:szCs w:val="20"/>
        </w:rPr>
        <w:lastRenderedPageBreak/>
        <w:t>C</w:t>
      </w:r>
      <w:r w:rsidR="00383D57" w:rsidRPr="007036C6">
        <w:rPr>
          <w:rFonts w:ascii="Times New Roman" w:hAnsi="Times New Roman"/>
          <w:sz w:val="20"/>
          <w:szCs w:val="20"/>
        </w:rPr>
        <w:t xml:space="preserve">errentrup, A., Mueller, T., Glowalla, U., Herder, M., Henrichs, N., Neubauer, A., &amp; Schaefer, J. R. (2018). Teaching medicine with the help of “Dr. House.” </w:t>
      </w:r>
      <w:r w:rsidR="00383D57" w:rsidRPr="007036C6">
        <w:rPr>
          <w:rFonts w:ascii="Times New Roman" w:hAnsi="Times New Roman"/>
          <w:i/>
          <w:sz w:val="20"/>
          <w:szCs w:val="20"/>
        </w:rPr>
        <w:t>PLoS ONE</w:t>
      </w:r>
      <w:r w:rsidR="00383D57" w:rsidRPr="007036C6">
        <w:rPr>
          <w:rFonts w:ascii="Times New Roman" w:hAnsi="Times New Roman"/>
          <w:sz w:val="20"/>
          <w:szCs w:val="20"/>
        </w:rPr>
        <w:t xml:space="preserve">, </w:t>
      </w:r>
      <w:r w:rsidR="00383D57" w:rsidRPr="007036C6">
        <w:rPr>
          <w:rFonts w:ascii="Times New Roman" w:hAnsi="Times New Roman"/>
          <w:i/>
          <w:sz w:val="20"/>
          <w:szCs w:val="20"/>
        </w:rPr>
        <w:t>13</w:t>
      </w:r>
      <w:r w:rsidR="00383D57" w:rsidRPr="007036C6">
        <w:rPr>
          <w:rFonts w:ascii="Times New Roman" w:hAnsi="Times New Roman"/>
          <w:sz w:val="20"/>
          <w:szCs w:val="20"/>
        </w:rPr>
        <w:t xml:space="preserve">(3), Article e0193972. </w:t>
      </w:r>
      <w:hyperlink r:id="rId22" w:history="1">
        <w:r w:rsidR="00383D57" w:rsidRPr="007036C6">
          <w:rPr>
            <w:rStyle w:val="Hyperlink"/>
            <w:rFonts w:ascii="Times New Roman" w:hAnsi="Times New Roman"/>
            <w:color w:val="auto"/>
            <w:sz w:val="20"/>
            <w:szCs w:val="20"/>
            <w:u w:val="none"/>
          </w:rPr>
          <w:t>https://doi.org/10.1371/journal.pone.0193972</w:t>
        </w:r>
      </w:hyperlink>
    </w:p>
    <w:p w14:paraId="1A8955EF" w14:textId="77777777" w:rsidR="00E534B1" w:rsidRPr="007036C6" w:rsidRDefault="00E534B1" w:rsidP="00E534B1">
      <w:pPr>
        <w:autoSpaceDE w:val="0"/>
        <w:autoSpaceDN w:val="0"/>
        <w:adjustRightInd w:val="0"/>
        <w:spacing w:before="400" w:after="220"/>
        <w:jc w:val="both"/>
        <w:rPr>
          <w:bCs/>
          <w:i/>
          <w:color w:val="FF0000"/>
          <w:sz w:val="22"/>
          <w:szCs w:val="22"/>
        </w:rPr>
      </w:pPr>
      <w:r w:rsidRPr="007036C6">
        <w:rPr>
          <w:bCs/>
          <w:i/>
          <w:color w:val="FF0000"/>
          <w:sz w:val="22"/>
          <w:szCs w:val="22"/>
        </w:rPr>
        <w:t>Journal article</w:t>
      </w:r>
    </w:p>
    <w:p w14:paraId="1C8BC5E7" w14:textId="1DD5348D" w:rsidR="00286760" w:rsidRPr="007036C6" w:rsidRDefault="00495E99" w:rsidP="00286760">
      <w:pPr>
        <w:pStyle w:val="ListParagraph"/>
        <w:numPr>
          <w:ilvl w:val="0"/>
          <w:numId w:val="2"/>
        </w:numPr>
        <w:tabs>
          <w:tab w:val="left" w:pos="426"/>
        </w:tabs>
        <w:spacing w:after="0" w:line="240" w:lineRule="auto"/>
        <w:ind w:left="426"/>
        <w:jc w:val="both"/>
        <w:rPr>
          <w:rStyle w:val="Hyperlink"/>
          <w:rFonts w:ascii="Times New Roman" w:hAnsi="Times New Roman"/>
          <w:color w:val="auto"/>
          <w:sz w:val="20"/>
          <w:szCs w:val="20"/>
          <w:u w:val="none"/>
        </w:rPr>
      </w:pPr>
      <w:r w:rsidRPr="007036C6">
        <w:rPr>
          <w:rFonts w:ascii="Times New Roman" w:hAnsi="Times New Roman"/>
          <w:sz w:val="20"/>
          <w:szCs w:val="20"/>
        </w:rPr>
        <w:t>D</w:t>
      </w:r>
      <w:r w:rsidR="004E2731" w:rsidRPr="007036C6">
        <w:rPr>
          <w:rFonts w:ascii="Times New Roman" w:hAnsi="Times New Roman"/>
          <w:sz w:val="20"/>
          <w:szCs w:val="20"/>
        </w:rPr>
        <w:t>utler, J. (2017). Where access meets multimodality: The case of ASL music videos</w:t>
      </w:r>
      <w:r w:rsidR="004E2731" w:rsidRPr="007036C6">
        <w:rPr>
          <w:rFonts w:ascii="Times New Roman" w:hAnsi="Times New Roman"/>
          <w:i/>
          <w:sz w:val="20"/>
          <w:szCs w:val="20"/>
        </w:rPr>
        <w:t>. Journal of Rhetoric, Technology, and Pedagogy</w:t>
      </w:r>
      <w:r w:rsidR="004E2731" w:rsidRPr="007036C6">
        <w:rPr>
          <w:rFonts w:ascii="Times New Roman" w:hAnsi="Times New Roman"/>
          <w:sz w:val="20"/>
          <w:szCs w:val="20"/>
        </w:rPr>
        <w:t xml:space="preserve">, </w:t>
      </w:r>
      <w:r w:rsidR="004E2731" w:rsidRPr="007036C6">
        <w:rPr>
          <w:rFonts w:ascii="Times New Roman" w:hAnsi="Times New Roman"/>
          <w:i/>
          <w:sz w:val="20"/>
          <w:szCs w:val="20"/>
        </w:rPr>
        <w:t>21</w:t>
      </w:r>
      <w:r w:rsidR="004E2731" w:rsidRPr="007036C6">
        <w:rPr>
          <w:rFonts w:ascii="Times New Roman" w:hAnsi="Times New Roman"/>
          <w:sz w:val="20"/>
          <w:szCs w:val="20"/>
        </w:rPr>
        <w:t xml:space="preserve">(1). </w:t>
      </w:r>
      <w:hyperlink r:id="rId23" w:history="1">
        <w:r w:rsidR="00286760" w:rsidRPr="007036C6">
          <w:rPr>
            <w:rStyle w:val="Hyperlink"/>
            <w:rFonts w:ascii="Times New Roman" w:hAnsi="Times New Roman"/>
            <w:color w:val="auto"/>
            <w:sz w:val="20"/>
            <w:szCs w:val="20"/>
            <w:u w:val="none"/>
          </w:rPr>
          <w:t>http://technorhetoric.net/21.1/topoi/butler/index.html</w:t>
        </w:r>
      </w:hyperlink>
    </w:p>
    <w:p w14:paraId="3ECF5B81" w14:textId="7EE0B495" w:rsidR="00E534B1" w:rsidRPr="007036C6" w:rsidRDefault="00EE4CCD" w:rsidP="00EE4CCD">
      <w:pPr>
        <w:autoSpaceDE w:val="0"/>
        <w:autoSpaceDN w:val="0"/>
        <w:adjustRightInd w:val="0"/>
        <w:spacing w:before="400" w:after="220"/>
        <w:jc w:val="both"/>
        <w:rPr>
          <w:bCs/>
          <w:i/>
          <w:color w:val="FF0000"/>
          <w:sz w:val="22"/>
          <w:szCs w:val="22"/>
        </w:rPr>
      </w:pPr>
      <w:r w:rsidRPr="007036C6">
        <w:rPr>
          <w:bCs/>
          <w:i/>
          <w:color w:val="FF0000"/>
          <w:sz w:val="22"/>
          <w:szCs w:val="22"/>
        </w:rPr>
        <w:t>Whole authored book with DOI</w:t>
      </w:r>
    </w:p>
    <w:p w14:paraId="41DD1234" w14:textId="5DFF8F77" w:rsidR="00EE4CCD" w:rsidRPr="007036C6" w:rsidRDefault="00495E99" w:rsidP="00113D0D">
      <w:pPr>
        <w:pStyle w:val="ListParagraph"/>
        <w:numPr>
          <w:ilvl w:val="0"/>
          <w:numId w:val="2"/>
        </w:numPr>
        <w:tabs>
          <w:tab w:val="left" w:pos="426"/>
        </w:tabs>
        <w:spacing w:after="0" w:line="240" w:lineRule="auto"/>
        <w:ind w:left="426"/>
        <w:jc w:val="both"/>
        <w:rPr>
          <w:rStyle w:val="Hyperlink"/>
          <w:rFonts w:ascii="Times New Roman" w:hAnsi="Times New Roman"/>
          <w:color w:val="auto"/>
          <w:sz w:val="20"/>
          <w:szCs w:val="20"/>
          <w:u w:val="none"/>
        </w:rPr>
      </w:pPr>
      <w:r w:rsidRPr="007036C6">
        <w:rPr>
          <w:rFonts w:ascii="Times New Roman" w:hAnsi="Times New Roman"/>
          <w:sz w:val="20"/>
          <w:szCs w:val="20"/>
        </w:rPr>
        <w:t>E</w:t>
      </w:r>
      <w:r w:rsidR="004A1FCB" w:rsidRPr="007036C6">
        <w:rPr>
          <w:rFonts w:ascii="Times New Roman" w:hAnsi="Times New Roman"/>
          <w:sz w:val="20"/>
          <w:szCs w:val="20"/>
        </w:rPr>
        <w:t xml:space="preserve">ackson, L. M. (2019). </w:t>
      </w:r>
      <w:r w:rsidR="004A1FCB" w:rsidRPr="007036C6">
        <w:rPr>
          <w:rFonts w:ascii="Times New Roman" w:hAnsi="Times New Roman"/>
          <w:i/>
          <w:sz w:val="20"/>
          <w:szCs w:val="20"/>
        </w:rPr>
        <w:t>The psychology of prejudice: From attitudes to social action</w:t>
      </w:r>
      <w:r w:rsidR="004A1FCB" w:rsidRPr="007036C6">
        <w:rPr>
          <w:rFonts w:ascii="Times New Roman" w:hAnsi="Times New Roman"/>
          <w:sz w:val="20"/>
          <w:szCs w:val="20"/>
        </w:rPr>
        <w:t xml:space="preserve"> (2nd ed.). </w:t>
      </w:r>
      <w:r w:rsidR="00286760" w:rsidRPr="007036C6">
        <w:rPr>
          <w:rFonts w:ascii="Times New Roman" w:hAnsi="Times New Roman"/>
          <w:sz w:val="20"/>
          <w:szCs w:val="20"/>
        </w:rPr>
        <w:t>J</w:t>
      </w:r>
      <w:r w:rsidR="00BE1634" w:rsidRPr="007036C6">
        <w:rPr>
          <w:rFonts w:ascii="Times New Roman" w:hAnsi="Times New Roman"/>
          <w:sz w:val="20"/>
          <w:szCs w:val="20"/>
        </w:rPr>
        <w:t>ohn Wiley &amp; Sons</w:t>
      </w:r>
      <w:r w:rsidR="004A1FCB" w:rsidRPr="007036C6">
        <w:rPr>
          <w:rFonts w:ascii="Times New Roman" w:hAnsi="Times New Roman"/>
          <w:sz w:val="20"/>
          <w:szCs w:val="20"/>
        </w:rPr>
        <w:t xml:space="preserve">. </w:t>
      </w:r>
      <w:hyperlink r:id="rId24" w:history="1">
        <w:r w:rsidR="00E57675" w:rsidRPr="007036C6">
          <w:rPr>
            <w:rStyle w:val="Hyperlink"/>
            <w:rFonts w:ascii="Times New Roman" w:hAnsi="Times New Roman"/>
            <w:color w:val="auto"/>
            <w:sz w:val="20"/>
            <w:szCs w:val="20"/>
            <w:u w:val="none"/>
          </w:rPr>
          <w:t>https://doi.org/10.1037/0000168-000</w:t>
        </w:r>
      </w:hyperlink>
    </w:p>
    <w:p w14:paraId="1D088423" w14:textId="021BEF74" w:rsidR="00113D0D" w:rsidRPr="007036C6" w:rsidRDefault="00113D0D" w:rsidP="00113D0D">
      <w:pPr>
        <w:autoSpaceDE w:val="0"/>
        <w:autoSpaceDN w:val="0"/>
        <w:adjustRightInd w:val="0"/>
        <w:spacing w:before="400" w:after="220"/>
        <w:jc w:val="both"/>
        <w:rPr>
          <w:bCs/>
          <w:i/>
          <w:color w:val="FF0000"/>
          <w:sz w:val="22"/>
          <w:szCs w:val="22"/>
        </w:rPr>
      </w:pPr>
      <w:r w:rsidRPr="007036C6">
        <w:rPr>
          <w:bCs/>
          <w:i/>
          <w:color w:val="FF0000"/>
          <w:sz w:val="22"/>
          <w:szCs w:val="22"/>
        </w:rPr>
        <w:t>Whole edited book</w:t>
      </w:r>
    </w:p>
    <w:p w14:paraId="11B8A395" w14:textId="111DEE82" w:rsidR="00266DAB" w:rsidRPr="007036C6" w:rsidRDefault="00495E99" w:rsidP="00266DAB">
      <w:pPr>
        <w:pStyle w:val="ListParagraph"/>
        <w:numPr>
          <w:ilvl w:val="0"/>
          <w:numId w:val="2"/>
        </w:numPr>
        <w:tabs>
          <w:tab w:val="left" w:pos="426"/>
        </w:tabs>
        <w:spacing w:after="0" w:line="240" w:lineRule="auto"/>
        <w:ind w:left="426"/>
        <w:jc w:val="both"/>
        <w:rPr>
          <w:rStyle w:val="Hyperlink"/>
          <w:rFonts w:ascii="Times New Roman" w:hAnsi="Times New Roman"/>
          <w:color w:val="auto"/>
          <w:sz w:val="20"/>
          <w:szCs w:val="20"/>
          <w:u w:val="none"/>
        </w:rPr>
      </w:pPr>
      <w:r w:rsidRPr="007036C6">
        <w:rPr>
          <w:rFonts w:ascii="Times New Roman" w:hAnsi="Times New Roman"/>
          <w:sz w:val="20"/>
          <w:szCs w:val="20"/>
        </w:rPr>
        <w:t>F</w:t>
      </w:r>
      <w:r w:rsidR="00E57675" w:rsidRPr="007036C6">
        <w:rPr>
          <w:rFonts w:ascii="Times New Roman" w:hAnsi="Times New Roman"/>
          <w:sz w:val="20"/>
          <w:szCs w:val="20"/>
        </w:rPr>
        <w:t xml:space="preserve">ygum, E., &amp; Pedersen, P. M. (Eds.). (2010). </w:t>
      </w:r>
      <w:r w:rsidR="00E57675" w:rsidRPr="007036C6">
        <w:rPr>
          <w:rFonts w:ascii="Times New Roman" w:hAnsi="Times New Roman"/>
          <w:i/>
          <w:sz w:val="20"/>
          <w:szCs w:val="20"/>
        </w:rPr>
        <w:t>Early childhood education: Values and practices in Denmark</w:t>
      </w:r>
      <w:r w:rsidR="00E57675" w:rsidRPr="007036C6">
        <w:rPr>
          <w:rFonts w:ascii="Times New Roman" w:hAnsi="Times New Roman"/>
          <w:sz w:val="20"/>
          <w:szCs w:val="20"/>
        </w:rPr>
        <w:t xml:space="preserve">. Hans Reitzels Forlag. </w:t>
      </w:r>
      <w:hyperlink r:id="rId25" w:history="1">
        <w:r w:rsidR="00E57675" w:rsidRPr="007036C6">
          <w:rPr>
            <w:rStyle w:val="Hyperlink"/>
            <w:rFonts w:ascii="Times New Roman" w:hAnsi="Times New Roman"/>
            <w:color w:val="auto"/>
            <w:sz w:val="20"/>
            <w:szCs w:val="20"/>
            <w:u w:val="none"/>
          </w:rPr>
          <w:t>https://earlychildhoodeducation.digi.hansreitzel.dk/</w:t>
        </w:r>
      </w:hyperlink>
    </w:p>
    <w:p w14:paraId="1D9485E2" w14:textId="78633A18" w:rsidR="00E57675" w:rsidRPr="007036C6" w:rsidRDefault="00E57675" w:rsidP="00266DAB">
      <w:pPr>
        <w:pStyle w:val="ListParagraph"/>
        <w:numPr>
          <w:ilvl w:val="0"/>
          <w:numId w:val="2"/>
        </w:numPr>
        <w:tabs>
          <w:tab w:val="left" w:pos="426"/>
        </w:tabs>
        <w:spacing w:after="0" w:line="240" w:lineRule="auto"/>
        <w:ind w:left="426"/>
        <w:jc w:val="both"/>
        <w:rPr>
          <w:rFonts w:ascii="Times New Roman" w:hAnsi="Times New Roman"/>
          <w:sz w:val="20"/>
          <w:szCs w:val="20"/>
        </w:rPr>
      </w:pPr>
      <w:r w:rsidRPr="007036C6">
        <w:rPr>
          <w:rFonts w:ascii="Times New Roman" w:hAnsi="Times New Roman"/>
          <w:sz w:val="20"/>
          <w:szCs w:val="20"/>
        </w:rPr>
        <w:t xml:space="preserve">Kesharwani, P. (Ed.). (2020). </w:t>
      </w:r>
      <w:r w:rsidR="007554D0" w:rsidRPr="007036C6">
        <w:rPr>
          <w:rFonts w:ascii="Times New Roman" w:hAnsi="Times New Roman"/>
          <w:i/>
          <w:sz w:val="20"/>
          <w:szCs w:val="20"/>
        </w:rPr>
        <w:t xml:space="preserve">Circular Economy and </w:t>
      </w:r>
      <w:r w:rsidR="00080612" w:rsidRPr="007036C6">
        <w:rPr>
          <w:rFonts w:ascii="Times New Roman" w:hAnsi="Times New Roman"/>
          <w:i/>
          <w:sz w:val="20"/>
          <w:szCs w:val="20"/>
        </w:rPr>
        <w:t>its Benefits for Consumers</w:t>
      </w:r>
      <w:r w:rsidRPr="007036C6">
        <w:rPr>
          <w:rFonts w:ascii="Times New Roman" w:hAnsi="Times New Roman"/>
          <w:sz w:val="20"/>
          <w:szCs w:val="20"/>
        </w:rPr>
        <w:t>. Academic Press</w:t>
      </w:r>
      <w:r w:rsidR="003772FB" w:rsidRPr="007036C6">
        <w:rPr>
          <w:rFonts w:ascii="Times New Roman" w:hAnsi="Times New Roman"/>
          <w:sz w:val="20"/>
          <w:szCs w:val="20"/>
        </w:rPr>
        <w:t>.</w:t>
      </w:r>
    </w:p>
    <w:p w14:paraId="1B1FCC34" w14:textId="1B74CF72" w:rsidR="00113D0D" w:rsidRPr="007036C6" w:rsidRDefault="00113D0D" w:rsidP="00113D0D">
      <w:pPr>
        <w:autoSpaceDE w:val="0"/>
        <w:autoSpaceDN w:val="0"/>
        <w:adjustRightInd w:val="0"/>
        <w:spacing w:before="400" w:after="220"/>
        <w:jc w:val="both"/>
        <w:rPr>
          <w:bCs/>
          <w:i/>
          <w:color w:val="FF0000"/>
          <w:sz w:val="22"/>
          <w:szCs w:val="22"/>
        </w:rPr>
      </w:pPr>
      <w:r w:rsidRPr="007036C6">
        <w:rPr>
          <w:bCs/>
          <w:i/>
          <w:color w:val="FF0000"/>
          <w:sz w:val="22"/>
          <w:szCs w:val="22"/>
        </w:rPr>
        <w:t>Chapter in an edited book with DOI</w:t>
      </w:r>
    </w:p>
    <w:p w14:paraId="62129CA6" w14:textId="2F983B8E" w:rsidR="003772FB" w:rsidRPr="007036C6" w:rsidRDefault="00495E99" w:rsidP="003772FB">
      <w:pPr>
        <w:pStyle w:val="ListParagraph"/>
        <w:numPr>
          <w:ilvl w:val="0"/>
          <w:numId w:val="2"/>
        </w:numPr>
        <w:tabs>
          <w:tab w:val="left" w:pos="426"/>
        </w:tabs>
        <w:spacing w:after="0" w:line="240" w:lineRule="auto"/>
        <w:ind w:left="426"/>
        <w:jc w:val="both"/>
        <w:rPr>
          <w:rStyle w:val="Hyperlink"/>
          <w:rFonts w:ascii="Times New Roman" w:hAnsi="Times New Roman"/>
          <w:color w:val="auto"/>
          <w:sz w:val="20"/>
          <w:szCs w:val="20"/>
          <w:u w:val="none"/>
        </w:rPr>
      </w:pPr>
      <w:r w:rsidRPr="007036C6">
        <w:rPr>
          <w:rFonts w:ascii="Times New Roman" w:hAnsi="Times New Roman"/>
          <w:sz w:val="20"/>
          <w:szCs w:val="20"/>
        </w:rPr>
        <w:t>L</w:t>
      </w:r>
      <w:r w:rsidR="00E57675" w:rsidRPr="007036C6">
        <w:rPr>
          <w:rFonts w:ascii="Times New Roman" w:hAnsi="Times New Roman"/>
          <w:sz w:val="20"/>
          <w:szCs w:val="20"/>
        </w:rPr>
        <w:t xml:space="preserve">ron, L., Botella, M., &amp; Lubart, T. (2019). Culinary arts: Talent and their development. In R. F. Subotnik, P. Olszewski-Kubilius, &amp; F. C. Worrell (Eds.), </w:t>
      </w:r>
      <w:r w:rsidR="00E57675" w:rsidRPr="007036C6">
        <w:rPr>
          <w:rFonts w:ascii="Times New Roman" w:hAnsi="Times New Roman"/>
          <w:i/>
          <w:sz w:val="20"/>
          <w:szCs w:val="20"/>
        </w:rPr>
        <w:t>The psychology of high performance: Developing human potential into domain-specific talent</w:t>
      </w:r>
      <w:r w:rsidR="00E57675" w:rsidRPr="007036C6">
        <w:rPr>
          <w:rFonts w:ascii="Times New Roman" w:hAnsi="Times New Roman"/>
          <w:sz w:val="20"/>
          <w:szCs w:val="20"/>
        </w:rPr>
        <w:t xml:space="preserve"> (pp. 345–359). Springer. </w:t>
      </w:r>
      <w:hyperlink r:id="rId26" w:history="1">
        <w:r w:rsidR="00B56D11" w:rsidRPr="007036C6">
          <w:rPr>
            <w:rStyle w:val="Hyperlink"/>
            <w:rFonts w:ascii="Times New Roman" w:hAnsi="Times New Roman"/>
            <w:color w:val="auto"/>
            <w:sz w:val="20"/>
            <w:szCs w:val="20"/>
            <w:u w:val="none"/>
          </w:rPr>
          <w:t>https://doi.org/10.1037/0000120-016</w:t>
        </w:r>
      </w:hyperlink>
    </w:p>
    <w:p w14:paraId="0E28A6F3" w14:textId="1368C77B" w:rsidR="00113D0D" w:rsidRPr="007036C6" w:rsidRDefault="00113D0D" w:rsidP="00113D0D">
      <w:pPr>
        <w:autoSpaceDE w:val="0"/>
        <w:autoSpaceDN w:val="0"/>
        <w:adjustRightInd w:val="0"/>
        <w:spacing w:before="400" w:after="220"/>
        <w:jc w:val="both"/>
        <w:rPr>
          <w:bCs/>
          <w:i/>
          <w:color w:val="FF0000"/>
          <w:sz w:val="22"/>
          <w:szCs w:val="22"/>
        </w:rPr>
      </w:pPr>
      <w:r w:rsidRPr="007036C6">
        <w:rPr>
          <w:bCs/>
          <w:i/>
          <w:color w:val="FF0000"/>
          <w:sz w:val="22"/>
          <w:szCs w:val="22"/>
        </w:rPr>
        <w:t>Chapter in an edited book</w:t>
      </w:r>
    </w:p>
    <w:p w14:paraId="3646083B" w14:textId="6B19A0C8" w:rsidR="00D32555" w:rsidRPr="007036C6" w:rsidRDefault="00495E99" w:rsidP="00D32555">
      <w:pPr>
        <w:pStyle w:val="ListParagraph"/>
        <w:numPr>
          <w:ilvl w:val="0"/>
          <w:numId w:val="2"/>
        </w:numPr>
        <w:tabs>
          <w:tab w:val="left" w:pos="426"/>
        </w:tabs>
        <w:spacing w:after="0" w:line="240" w:lineRule="auto"/>
        <w:ind w:left="426"/>
        <w:jc w:val="both"/>
        <w:rPr>
          <w:rFonts w:ascii="Times New Roman" w:hAnsi="Times New Roman"/>
          <w:sz w:val="20"/>
          <w:szCs w:val="20"/>
        </w:rPr>
      </w:pPr>
      <w:r w:rsidRPr="007036C6">
        <w:rPr>
          <w:rFonts w:ascii="Times New Roman" w:hAnsi="Times New Roman"/>
          <w:sz w:val="20"/>
          <w:szCs w:val="20"/>
        </w:rPr>
        <w:t>M</w:t>
      </w:r>
      <w:r w:rsidR="003772FB" w:rsidRPr="007036C6">
        <w:rPr>
          <w:rFonts w:ascii="Times New Roman" w:hAnsi="Times New Roman"/>
          <w:sz w:val="20"/>
          <w:szCs w:val="20"/>
        </w:rPr>
        <w:t>illard, J. P. (2020). Currents in the study of persuasion. In M. B. Oliver, A. A. Raney, &amp; J. Bryant (Eds.), Media effects: Advances in theory and research (4th ed., pp. 115–129). Routledge.</w:t>
      </w:r>
      <w:r w:rsidR="00D32555" w:rsidRPr="007036C6">
        <w:rPr>
          <w:rFonts w:ascii="Times New Roman" w:hAnsi="Times New Roman"/>
          <w:sz w:val="20"/>
          <w:szCs w:val="20"/>
        </w:rPr>
        <w:t xml:space="preserve"> https://doi.org/10.1037/0000120-00016</w:t>
      </w:r>
    </w:p>
    <w:p w14:paraId="17270E79" w14:textId="50E3C1AD" w:rsidR="00113D0D" w:rsidRPr="007036C6" w:rsidRDefault="005A5430" w:rsidP="005A5430">
      <w:pPr>
        <w:autoSpaceDE w:val="0"/>
        <w:autoSpaceDN w:val="0"/>
        <w:adjustRightInd w:val="0"/>
        <w:spacing w:before="400" w:after="220"/>
        <w:jc w:val="both"/>
        <w:rPr>
          <w:bCs/>
          <w:i/>
          <w:color w:val="FF0000"/>
          <w:sz w:val="22"/>
          <w:szCs w:val="22"/>
        </w:rPr>
      </w:pPr>
      <w:r w:rsidRPr="007036C6">
        <w:rPr>
          <w:bCs/>
          <w:i/>
          <w:color w:val="FF0000"/>
          <w:sz w:val="22"/>
          <w:szCs w:val="22"/>
        </w:rPr>
        <w:t>Report by an institution</w:t>
      </w:r>
    </w:p>
    <w:p w14:paraId="6BE6F771" w14:textId="672F74CF" w:rsidR="00D60AB0" w:rsidRPr="007036C6" w:rsidRDefault="003772FB" w:rsidP="00D60AB0">
      <w:pPr>
        <w:pStyle w:val="ListParagraph"/>
        <w:numPr>
          <w:ilvl w:val="0"/>
          <w:numId w:val="2"/>
        </w:numPr>
        <w:tabs>
          <w:tab w:val="left" w:pos="426"/>
        </w:tabs>
        <w:spacing w:after="0" w:line="240" w:lineRule="auto"/>
        <w:ind w:left="426"/>
        <w:jc w:val="both"/>
        <w:rPr>
          <w:rStyle w:val="Hyperlink"/>
          <w:rFonts w:ascii="Times New Roman" w:hAnsi="Times New Roman"/>
          <w:color w:val="auto"/>
          <w:sz w:val="20"/>
          <w:szCs w:val="20"/>
          <w:u w:val="none"/>
        </w:rPr>
      </w:pPr>
      <w:r w:rsidRPr="007036C6">
        <w:rPr>
          <w:rFonts w:ascii="Times New Roman" w:hAnsi="Times New Roman"/>
          <w:sz w:val="20"/>
          <w:szCs w:val="20"/>
        </w:rPr>
        <w:t xml:space="preserve">National Cancer Institute. (2019). </w:t>
      </w:r>
      <w:r w:rsidRPr="007036C6">
        <w:rPr>
          <w:rFonts w:ascii="Times New Roman" w:hAnsi="Times New Roman"/>
          <w:i/>
          <w:sz w:val="20"/>
          <w:szCs w:val="20"/>
        </w:rPr>
        <w:t>Taking time: Support for people with cancer</w:t>
      </w:r>
      <w:r w:rsidRPr="007036C6">
        <w:rPr>
          <w:rFonts w:ascii="Times New Roman" w:hAnsi="Times New Roman"/>
          <w:sz w:val="20"/>
          <w:szCs w:val="20"/>
        </w:rPr>
        <w:t xml:space="preserve"> (NIH Publication No. 18-2059). </w:t>
      </w:r>
      <w:hyperlink r:id="rId27" w:history="1">
        <w:r w:rsidRPr="007036C6">
          <w:rPr>
            <w:rStyle w:val="Hyperlink"/>
            <w:rFonts w:ascii="Times New Roman" w:hAnsi="Times New Roman"/>
            <w:color w:val="auto"/>
            <w:sz w:val="20"/>
            <w:szCs w:val="20"/>
            <w:u w:val="none"/>
          </w:rPr>
          <w:t>https://www.cancer.gov/publications/patient-education/takingtime.pdf</w:t>
        </w:r>
      </w:hyperlink>
    </w:p>
    <w:p w14:paraId="7C0D03FD" w14:textId="77777777" w:rsidR="00FD5B36" w:rsidRPr="007036C6" w:rsidRDefault="00FD5B36" w:rsidP="00FD5B36">
      <w:pPr>
        <w:autoSpaceDE w:val="0"/>
        <w:autoSpaceDN w:val="0"/>
        <w:adjustRightInd w:val="0"/>
        <w:spacing w:before="400" w:after="220"/>
        <w:jc w:val="both"/>
        <w:rPr>
          <w:bCs/>
          <w:i/>
          <w:color w:val="FF0000"/>
          <w:sz w:val="22"/>
          <w:szCs w:val="22"/>
        </w:rPr>
      </w:pPr>
      <w:r w:rsidRPr="007036C6">
        <w:rPr>
          <w:bCs/>
          <w:i/>
          <w:color w:val="FF0000"/>
          <w:sz w:val="22"/>
          <w:szCs w:val="22"/>
        </w:rPr>
        <w:t>Brochure References</w:t>
      </w:r>
    </w:p>
    <w:p w14:paraId="22A11DCA" w14:textId="77777777" w:rsidR="00FD5B36" w:rsidRPr="007036C6" w:rsidRDefault="00FD5B36" w:rsidP="00FD5B36">
      <w:pPr>
        <w:tabs>
          <w:tab w:val="left" w:pos="426"/>
        </w:tabs>
        <w:jc w:val="both"/>
        <w:rPr>
          <w:sz w:val="20"/>
        </w:rPr>
      </w:pPr>
    </w:p>
    <w:p w14:paraId="5949D217" w14:textId="74D6D3DF" w:rsidR="003772FB" w:rsidRPr="007036C6" w:rsidRDefault="00495E99" w:rsidP="00D60AB0">
      <w:pPr>
        <w:pStyle w:val="ListParagraph"/>
        <w:numPr>
          <w:ilvl w:val="0"/>
          <w:numId w:val="2"/>
        </w:numPr>
        <w:tabs>
          <w:tab w:val="left" w:pos="426"/>
        </w:tabs>
        <w:spacing w:after="0" w:line="240" w:lineRule="auto"/>
        <w:ind w:left="426"/>
        <w:jc w:val="both"/>
        <w:rPr>
          <w:rFonts w:ascii="Times New Roman" w:hAnsi="Times New Roman"/>
          <w:sz w:val="20"/>
          <w:szCs w:val="20"/>
        </w:rPr>
      </w:pPr>
      <w:r w:rsidRPr="007036C6">
        <w:rPr>
          <w:rFonts w:ascii="Times New Roman" w:hAnsi="Times New Roman"/>
          <w:sz w:val="20"/>
          <w:szCs w:val="20"/>
        </w:rPr>
        <w:t>O</w:t>
      </w:r>
      <w:r w:rsidR="00D60AB0" w:rsidRPr="007036C6">
        <w:rPr>
          <w:rFonts w:ascii="Times New Roman" w:hAnsi="Times New Roman"/>
          <w:sz w:val="20"/>
          <w:szCs w:val="20"/>
        </w:rPr>
        <w:t xml:space="preserve">edars-Sinai. (2015). </w:t>
      </w:r>
      <w:r w:rsidR="00D60AB0" w:rsidRPr="007036C6">
        <w:rPr>
          <w:rFonts w:ascii="Times New Roman" w:hAnsi="Times New Roman"/>
          <w:i/>
          <w:sz w:val="20"/>
          <w:szCs w:val="20"/>
        </w:rPr>
        <w:t>Human papillomavirus (HPV) and oropharyngeal cancer</w:t>
      </w:r>
      <w:r w:rsidR="00D60AB0" w:rsidRPr="007036C6">
        <w:rPr>
          <w:rFonts w:ascii="Times New Roman" w:hAnsi="Times New Roman"/>
          <w:sz w:val="20"/>
          <w:szCs w:val="20"/>
        </w:rPr>
        <w:t xml:space="preserve"> [Brochure]. https://www.cedars-sinai.org/content/dam/cedars-sinai/cancer/sub-clinical-areas/head-neck/documents/hpv-throat-cancer-brochure.pdf</w:t>
      </w:r>
    </w:p>
    <w:p w14:paraId="50E17A5B" w14:textId="77777777" w:rsidR="00675E93" w:rsidRPr="007036C6" w:rsidRDefault="00675E93" w:rsidP="00675E93">
      <w:pPr>
        <w:pStyle w:val="Body"/>
        <w:tabs>
          <w:tab w:val="left" w:pos="426"/>
        </w:tabs>
        <w:spacing w:after="0" w:line="240" w:lineRule="auto"/>
        <w:ind w:left="66"/>
        <w:jc w:val="both"/>
        <w:rPr>
          <w:rStyle w:val="PageNumber"/>
          <w:rFonts w:ascii="Times New Roman" w:hAnsi="Times New Roman" w:cs="Times New Roman"/>
          <w:color w:val="auto"/>
          <w:sz w:val="20"/>
          <w:szCs w:val="20"/>
        </w:rPr>
      </w:pPr>
    </w:p>
    <w:p w14:paraId="751FD616" w14:textId="77777777" w:rsidR="00675E93" w:rsidRPr="007036C6" w:rsidRDefault="00675E93" w:rsidP="00675E93">
      <w:pPr>
        <w:spacing w:after="120"/>
        <w:jc w:val="both"/>
        <w:rPr>
          <w:i/>
          <w:sz w:val="20"/>
        </w:rPr>
      </w:pPr>
    </w:p>
    <w:p w14:paraId="616512CF" w14:textId="77777777" w:rsidR="00B25D4F" w:rsidRPr="007036C6" w:rsidRDefault="00B25D4F"/>
    <w:sectPr w:rsidR="00B25D4F" w:rsidRPr="007036C6" w:rsidSect="00C70047">
      <w:headerReference w:type="even" r:id="rId28"/>
      <w:headerReference w:type="default" r:id="rId29"/>
      <w:headerReference w:type="first" r:id="rId30"/>
      <w:footnotePr>
        <w:numFmt w:val="chicago"/>
      </w:footnotePr>
      <w:pgSz w:w="11907" w:h="16840" w:code="9"/>
      <w:pgMar w:top="1701" w:right="1701" w:bottom="1701" w:left="1701" w:header="1134" w:footer="1134" w:gutter="0"/>
      <w:pgNumType w:start="1"/>
      <w:cols w:space="720"/>
      <w:titlePg/>
      <w:docGrid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B27B5" w14:textId="77777777" w:rsidR="006B2631" w:rsidRDefault="006B2631">
      <w:r>
        <w:separator/>
      </w:r>
    </w:p>
  </w:endnote>
  <w:endnote w:type="continuationSeparator" w:id="0">
    <w:p w14:paraId="1E21B940" w14:textId="77777777" w:rsidR="006B2631" w:rsidRDefault="006B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F2553" w14:textId="77777777" w:rsidR="006B2631" w:rsidRDefault="006B2631">
      <w:r>
        <w:separator/>
      </w:r>
    </w:p>
  </w:footnote>
  <w:footnote w:type="continuationSeparator" w:id="0">
    <w:p w14:paraId="41E1A7D8" w14:textId="77777777" w:rsidR="006B2631" w:rsidRDefault="006B2631">
      <w:r>
        <w:continuationSeparator/>
      </w:r>
    </w:p>
  </w:footnote>
  <w:footnote w:id="1">
    <w:p w14:paraId="09228231" w14:textId="77777777" w:rsidR="00573DFB" w:rsidRDefault="00573DFB">
      <w:pPr>
        <w:pStyle w:val="FootnoteText"/>
      </w:pPr>
      <w:r>
        <w:rPr>
          <w:rStyle w:val="FootnoteReference"/>
        </w:rPr>
        <w:footnoteRef/>
      </w:r>
      <w:r>
        <w:t xml:space="preserve"> </w:t>
      </w:r>
      <w:r w:rsidRPr="00573DFB">
        <w:t>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1F5F9" w14:textId="385E8F54" w:rsidR="00D74FC4" w:rsidRPr="00551FBE" w:rsidRDefault="00675E93" w:rsidP="003357F7">
    <w:pPr>
      <w:pStyle w:val="Header"/>
      <w:pBdr>
        <w:bottom w:val="single" w:sz="4" w:space="1" w:color="auto"/>
      </w:pBdr>
      <w:tabs>
        <w:tab w:val="center" w:pos="4224"/>
        <w:tab w:val="right" w:pos="8448"/>
      </w:tabs>
      <w:ind w:right="90"/>
      <w:rPr>
        <w:rFonts w:ascii="Arial Narrow" w:hAnsi="Arial Narrow"/>
        <w:b/>
        <w:i/>
        <w:sz w:val="20"/>
        <w:lang w:val="fr-FR"/>
      </w:rPr>
    </w:pPr>
    <w:r w:rsidRPr="00551FBE">
      <w:rPr>
        <w:rStyle w:val="PageNumber"/>
        <w:rFonts w:ascii="Arial Narrow" w:hAnsi="Arial Narrow"/>
        <w:b/>
        <w:sz w:val="20"/>
      </w:rPr>
      <w:fldChar w:fldCharType="begin"/>
    </w:r>
    <w:r w:rsidRPr="00551FBE">
      <w:rPr>
        <w:rStyle w:val="PageNumber"/>
        <w:rFonts w:ascii="Arial Narrow" w:hAnsi="Arial Narrow"/>
        <w:b/>
        <w:sz w:val="20"/>
        <w:lang w:val="fr-FR"/>
      </w:rPr>
      <w:instrText xml:space="preserve"> PAGE </w:instrText>
    </w:r>
    <w:r w:rsidRPr="00551FBE">
      <w:rPr>
        <w:rStyle w:val="PageNumber"/>
        <w:rFonts w:ascii="Arial Narrow" w:hAnsi="Arial Narrow"/>
        <w:b/>
        <w:sz w:val="20"/>
      </w:rPr>
      <w:fldChar w:fldCharType="separate"/>
    </w:r>
    <w:r w:rsidR="007800B2">
      <w:rPr>
        <w:rStyle w:val="PageNumber"/>
        <w:rFonts w:ascii="Arial Narrow" w:hAnsi="Arial Narrow"/>
        <w:b/>
        <w:noProof/>
        <w:sz w:val="20"/>
        <w:lang w:val="fr-FR"/>
      </w:rPr>
      <w:t>2</w:t>
    </w:r>
    <w:r w:rsidRPr="00551FBE">
      <w:rPr>
        <w:rStyle w:val="PageNumber"/>
        <w:rFonts w:ascii="Arial Narrow" w:hAnsi="Arial Narrow"/>
        <w:b/>
        <w:sz w:val="20"/>
      </w:rPr>
      <w:fldChar w:fldCharType="end"/>
    </w:r>
    <w:r w:rsidRPr="00551FBE">
      <w:rPr>
        <w:rFonts w:ascii="Arial Narrow" w:hAnsi="Arial Narrow"/>
        <w:b/>
        <w:i/>
        <w:iCs/>
        <w:sz w:val="20"/>
        <w:lang w:val="fr-FR"/>
      </w:rPr>
      <w:tab/>
    </w:r>
    <w:r>
      <w:rPr>
        <w:rFonts w:ascii="Arial Narrow" w:hAnsi="Arial Narrow"/>
        <w:b/>
        <w:i/>
        <w:iCs/>
        <w:sz w:val="20"/>
        <w:lang w:val="fr-FR"/>
      </w:rPr>
      <w:t>Author(‘s) Surname, Name</w:t>
    </w:r>
  </w:p>
  <w:p w14:paraId="2C361006" w14:textId="77777777" w:rsidR="00DE3F59" w:rsidRPr="00E24D1A" w:rsidRDefault="006B2631" w:rsidP="00D74FC4">
    <w:pPr>
      <w:pStyle w:val="Header"/>
      <w:rPr>
        <w:rFonts w:ascii="Arial Narrow" w:hAnsi="Arial Narrow"/>
        <w:b/>
        <w:sz w:val="22"/>
        <w:szCs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91759" w14:textId="007180D4" w:rsidR="00DE3F59" w:rsidRPr="008E726A" w:rsidRDefault="00675E93" w:rsidP="00CE4988">
    <w:pPr>
      <w:pStyle w:val="Header"/>
      <w:pBdr>
        <w:bottom w:val="single" w:sz="4" w:space="2" w:color="auto"/>
      </w:pBdr>
      <w:tabs>
        <w:tab w:val="center" w:pos="4224"/>
        <w:tab w:val="right" w:pos="8448"/>
      </w:tabs>
      <w:ind w:right="90"/>
      <w:jc w:val="center"/>
      <w:rPr>
        <w:rFonts w:ascii="Arial Narrow" w:hAnsi="Arial Narrow"/>
        <w:b/>
        <w:i/>
        <w:sz w:val="20"/>
      </w:rPr>
    </w:pPr>
    <w:r w:rsidRPr="008E726A">
      <w:rPr>
        <w:rFonts w:ascii="Arial Narrow" w:hAnsi="Arial Narrow"/>
        <w:b/>
        <w:i/>
        <w:sz w:val="20"/>
      </w:rPr>
      <w:tab/>
    </w:r>
    <w:r>
      <w:rPr>
        <w:rFonts w:ascii="Arial Narrow" w:hAnsi="Arial Narrow"/>
        <w:b/>
        <w:i/>
        <w:sz w:val="20"/>
      </w:rPr>
      <w:t>Paper’s Title</w:t>
    </w:r>
    <w:r w:rsidRPr="008E726A">
      <w:rPr>
        <w:rFonts w:ascii="Arial Narrow" w:hAnsi="Arial Narrow"/>
        <w:b/>
        <w:i/>
        <w:sz w:val="20"/>
      </w:rPr>
      <w:tab/>
    </w:r>
    <w:r w:rsidRPr="008E726A">
      <w:rPr>
        <w:rStyle w:val="PageNumber"/>
        <w:rFonts w:ascii="Arial Narrow" w:hAnsi="Arial Narrow"/>
        <w:b/>
        <w:sz w:val="20"/>
      </w:rPr>
      <w:fldChar w:fldCharType="begin"/>
    </w:r>
    <w:r w:rsidRPr="008E726A">
      <w:rPr>
        <w:rStyle w:val="PageNumber"/>
        <w:rFonts w:ascii="Arial Narrow" w:hAnsi="Arial Narrow"/>
        <w:b/>
        <w:sz w:val="20"/>
      </w:rPr>
      <w:instrText xml:space="preserve"> PAGE </w:instrText>
    </w:r>
    <w:r w:rsidRPr="008E726A">
      <w:rPr>
        <w:rStyle w:val="PageNumber"/>
        <w:rFonts w:ascii="Arial Narrow" w:hAnsi="Arial Narrow"/>
        <w:b/>
        <w:sz w:val="20"/>
      </w:rPr>
      <w:fldChar w:fldCharType="separate"/>
    </w:r>
    <w:r w:rsidR="007800B2">
      <w:rPr>
        <w:rStyle w:val="PageNumber"/>
        <w:rFonts w:ascii="Arial Narrow" w:hAnsi="Arial Narrow"/>
        <w:b/>
        <w:noProof/>
        <w:sz w:val="20"/>
      </w:rPr>
      <w:t>3</w:t>
    </w:r>
    <w:r w:rsidRPr="008E726A">
      <w:rPr>
        <w:rStyle w:val="PageNumber"/>
        <w:rFonts w:ascii="Arial Narrow" w:hAnsi="Arial Narrow"/>
        <w:b/>
        <w:sz w:val="20"/>
      </w:rPr>
      <w:fldChar w:fldCharType="end"/>
    </w:r>
  </w:p>
  <w:p w14:paraId="14316A48" w14:textId="77777777" w:rsidR="00DE3F59" w:rsidRDefault="006B2631">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4394"/>
      <w:gridCol w:w="992"/>
      <w:gridCol w:w="567"/>
      <w:gridCol w:w="947"/>
    </w:tblGrid>
    <w:tr w:rsidR="00FB0545" w:rsidRPr="00260157" w14:paraId="3303DBBD" w14:textId="77777777" w:rsidTr="00FB0545">
      <w:trPr>
        <w:cantSplit/>
        <w:trHeight w:val="510"/>
      </w:trPr>
      <w:tc>
        <w:tcPr>
          <w:tcW w:w="1560" w:type="dxa"/>
          <w:tcBorders>
            <w:top w:val="nil"/>
            <w:left w:val="nil"/>
            <w:right w:val="nil"/>
          </w:tcBorders>
          <w:vAlign w:val="center"/>
        </w:tcPr>
        <w:p w14:paraId="1EECC2E8" w14:textId="2DC68A4E" w:rsidR="00FB0545" w:rsidRPr="00917FAD" w:rsidRDefault="00FB0545" w:rsidP="00FB0545">
          <w:pPr>
            <w:jc w:val="right"/>
            <w:rPr>
              <w:rFonts w:ascii="Arial Narrow" w:hAnsi="Arial Narrow"/>
              <w:b/>
              <w:i/>
              <w:color w:val="000099"/>
              <w:sz w:val="24"/>
              <w:szCs w:val="24"/>
            </w:rPr>
          </w:pPr>
          <w:r w:rsidRPr="00917FAD">
            <w:rPr>
              <w:noProof/>
              <w:color w:val="000099"/>
              <w:sz w:val="24"/>
              <w:szCs w:val="24"/>
              <w:lang w:eastAsia="en-US"/>
            </w:rPr>
            <w:drawing>
              <wp:inline distT="0" distB="0" distL="0" distR="0" wp14:anchorId="08C652F8" wp14:editId="134354B0">
                <wp:extent cx="525145" cy="254635"/>
                <wp:effectExtent l="0" t="0" r="8255" b="0"/>
                <wp:docPr id="4" name="Picture 4" descr="Logo%20-%20par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20parti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5145" cy="254635"/>
                        </a:xfrm>
                        <a:prstGeom prst="rect">
                          <a:avLst/>
                        </a:prstGeom>
                        <a:noFill/>
                      </pic:spPr>
                    </pic:pic>
                  </a:graphicData>
                </a:graphic>
              </wp:inline>
            </w:drawing>
          </w:r>
        </w:p>
      </w:tc>
      <w:tc>
        <w:tcPr>
          <w:tcW w:w="4394" w:type="dxa"/>
          <w:tcBorders>
            <w:top w:val="nil"/>
            <w:left w:val="nil"/>
            <w:right w:val="nil"/>
          </w:tcBorders>
          <w:vAlign w:val="center"/>
        </w:tcPr>
        <w:p w14:paraId="5B8EB86B" w14:textId="34B4AB80" w:rsidR="00FB0545" w:rsidRPr="00917FAD" w:rsidRDefault="00FB0545" w:rsidP="00040F9B">
          <w:pPr>
            <w:spacing w:before="120" w:after="120"/>
            <w:rPr>
              <w:rFonts w:ascii="Arial Narrow" w:hAnsi="Arial Narrow"/>
              <w:b/>
              <w:i/>
              <w:color w:val="000099"/>
              <w:sz w:val="24"/>
              <w:szCs w:val="24"/>
            </w:rPr>
          </w:pPr>
          <w:r w:rsidRPr="00917FAD">
            <w:rPr>
              <w:rFonts w:ascii="Arial Narrow" w:hAnsi="Arial Narrow" w:cs="Arial"/>
              <w:b/>
              <w:i/>
              <w:color w:val="000099"/>
              <w:sz w:val="24"/>
              <w:szCs w:val="24"/>
            </w:rPr>
            <w:t>Economic Insights – Trends and Challenges</w:t>
          </w:r>
        </w:p>
      </w:tc>
      <w:tc>
        <w:tcPr>
          <w:tcW w:w="992" w:type="dxa"/>
          <w:tcBorders>
            <w:top w:val="nil"/>
            <w:left w:val="nil"/>
            <w:right w:val="nil"/>
          </w:tcBorders>
          <w:vAlign w:val="center"/>
        </w:tcPr>
        <w:p w14:paraId="0ADC16AF" w14:textId="28F9CC9B" w:rsidR="00FB0545" w:rsidRPr="00082803" w:rsidRDefault="00FB0545" w:rsidP="00082803">
          <w:pPr>
            <w:jc w:val="center"/>
            <w:rPr>
              <w:rFonts w:ascii="Arial Narrow" w:hAnsi="Arial Narrow"/>
              <w:b/>
              <w:sz w:val="18"/>
              <w:szCs w:val="18"/>
              <w:lang w:val="ro-RO"/>
            </w:rPr>
          </w:pPr>
          <w:r w:rsidRPr="00082803">
            <w:rPr>
              <w:rFonts w:ascii="Arial Narrow" w:hAnsi="Arial Narrow"/>
              <w:b/>
              <w:sz w:val="18"/>
              <w:szCs w:val="18"/>
            </w:rPr>
            <w:t>Vol.</w:t>
          </w:r>
          <w:r w:rsidR="003E136B">
            <w:rPr>
              <w:rFonts w:ascii="Arial Narrow" w:hAnsi="Arial Narrow"/>
              <w:b/>
              <w:sz w:val="18"/>
              <w:szCs w:val="18"/>
            </w:rPr>
            <w:t xml:space="preserve"> 13</w:t>
          </w:r>
        </w:p>
        <w:p w14:paraId="650BAC96" w14:textId="385EEBF3" w:rsidR="00FB0545" w:rsidRPr="00082803" w:rsidRDefault="00FB0545" w:rsidP="00082803">
          <w:pPr>
            <w:jc w:val="center"/>
            <w:rPr>
              <w:rFonts w:ascii="Arial Narrow" w:hAnsi="Arial Narrow"/>
              <w:b/>
              <w:i/>
              <w:color w:val="000099"/>
              <w:sz w:val="18"/>
              <w:szCs w:val="18"/>
            </w:rPr>
          </w:pPr>
          <w:r w:rsidRPr="00082803">
            <w:rPr>
              <w:rFonts w:ascii="Arial Narrow" w:hAnsi="Arial Narrow"/>
              <w:b/>
              <w:sz w:val="18"/>
              <w:szCs w:val="18"/>
            </w:rPr>
            <w:t>No.1</w:t>
          </w:r>
        </w:p>
      </w:tc>
      <w:tc>
        <w:tcPr>
          <w:tcW w:w="567" w:type="dxa"/>
          <w:tcBorders>
            <w:top w:val="nil"/>
            <w:left w:val="nil"/>
            <w:right w:val="nil"/>
          </w:tcBorders>
          <w:vAlign w:val="center"/>
        </w:tcPr>
        <w:p w14:paraId="49744EA1" w14:textId="7C662E68" w:rsidR="00FB0545" w:rsidRPr="00082803" w:rsidRDefault="00FB0545" w:rsidP="00E65673">
          <w:pPr>
            <w:jc w:val="center"/>
            <w:rPr>
              <w:rFonts w:ascii="Arial Narrow" w:hAnsi="Arial Narrow"/>
              <w:b/>
              <w:sz w:val="18"/>
              <w:szCs w:val="18"/>
            </w:rPr>
          </w:pPr>
          <w:r w:rsidRPr="00082803">
            <w:rPr>
              <w:rFonts w:ascii="Arial Narrow" w:hAnsi="Arial Narrow"/>
              <w:b/>
              <w:sz w:val="18"/>
              <w:szCs w:val="18"/>
            </w:rPr>
            <w:t>2023</w:t>
          </w:r>
        </w:p>
      </w:tc>
      <w:tc>
        <w:tcPr>
          <w:tcW w:w="947" w:type="dxa"/>
          <w:tcBorders>
            <w:top w:val="nil"/>
            <w:left w:val="nil"/>
            <w:right w:val="nil"/>
          </w:tcBorders>
          <w:vAlign w:val="center"/>
        </w:tcPr>
        <w:p w14:paraId="0DF960D1" w14:textId="553B01A2" w:rsidR="00FB0545" w:rsidRPr="00082803" w:rsidRDefault="00FB0545" w:rsidP="003C31C2">
          <w:pPr>
            <w:jc w:val="center"/>
            <w:rPr>
              <w:rFonts w:ascii="Arial Narrow" w:hAnsi="Arial Narrow"/>
              <w:b/>
              <w:sz w:val="18"/>
              <w:szCs w:val="18"/>
            </w:rPr>
          </w:pPr>
          <w:r w:rsidRPr="00082803">
            <w:rPr>
              <w:rFonts w:ascii="Arial Narrow" w:hAnsi="Arial Narrow"/>
              <w:b/>
              <w:sz w:val="18"/>
              <w:szCs w:val="18"/>
            </w:rPr>
            <w:fldChar w:fldCharType="begin"/>
          </w:r>
          <w:r w:rsidRPr="00082803">
            <w:rPr>
              <w:rFonts w:ascii="Arial Narrow" w:hAnsi="Arial Narrow"/>
              <w:b/>
              <w:sz w:val="18"/>
              <w:szCs w:val="18"/>
            </w:rPr>
            <w:instrText xml:space="preserve"> PAGE </w:instrText>
          </w:r>
          <w:r w:rsidRPr="00082803">
            <w:rPr>
              <w:rFonts w:ascii="Arial Narrow" w:hAnsi="Arial Narrow"/>
              <w:b/>
              <w:sz w:val="18"/>
              <w:szCs w:val="18"/>
            </w:rPr>
            <w:fldChar w:fldCharType="separate"/>
          </w:r>
          <w:r w:rsidR="007800B2">
            <w:rPr>
              <w:rFonts w:ascii="Arial Narrow" w:hAnsi="Arial Narrow"/>
              <w:b/>
              <w:noProof/>
              <w:sz w:val="18"/>
              <w:szCs w:val="18"/>
            </w:rPr>
            <w:t>1</w:t>
          </w:r>
          <w:r w:rsidRPr="00082803">
            <w:rPr>
              <w:rFonts w:ascii="Arial Narrow" w:hAnsi="Arial Narrow"/>
              <w:b/>
              <w:sz w:val="18"/>
              <w:szCs w:val="18"/>
            </w:rPr>
            <w:fldChar w:fldCharType="end"/>
          </w:r>
          <w:r w:rsidRPr="00082803">
            <w:rPr>
              <w:rFonts w:ascii="Arial Narrow" w:hAnsi="Arial Narrow"/>
              <w:b/>
              <w:sz w:val="18"/>
              <w:szCs w:val="18"/>
            </w:rPr>
            <w:t xml:space="preserve"> - 20</w:t>
          </w:r>
          <w:r w:rsidRPr="00082803">
            <w:rPr>
              <w:rFonts w:ascii="Arial Narrow" w:hAnsi="Arial Narrow"/>
              <w:b/>
              <w:sz w:val="18"/>
              <w:szCs w:val="18"/>
            </w:rPr>
            <w:fldChar w:fldCharType="begin"/>
          </w:r>
          <w:r w:rsidRPr="00082803">
            <w:rPr>
              <w:rFonts w:ascii="Arial Narrow" w:hAnsi="Arial Narrow"/>
              <w:b/>
              <w:sz w:val="18"/>
              <w:szCs w:val="18"/>
            </w:rPr>
            <w:instrText xml:space="preserve"> SET  MarcajÎnDocument  \* MERGEFORMAT </w:instrText>
          </w:r>
          <w:r w:rsidRPr="00082803">
            <w:rPr>
              <w:rFonts w:ascii="Arial Narrow" w:hAnsi="Arial Narrow"/>
              <w:b/>
              <w:sz w:val="18"/>
              <w:szCs w:val="18"/>
            </w:rPr>
            <w:fldChar w:fldCharType="end"/>
          </w:r>
        </w:p>
      </w:tc>
    </w:tr>
  </w:tbl>
  <w:p w14:paraId="3611A2C6" w14:textId="77777777" w:rsidR="00DE3F59" w:rsidRPr="00E24D1A" w:rsidRDefault="006B2631" w:rsidP="002D2ED3">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030FD"/>
    <w:multiLevelType w:val="hybridMultilevel"/>
    <w:tmpl w:val="28D4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E1EC4"/>
    <w:multiLevelType w:val="hybridMultilevel"/>
    <w:tmpl w:val="025244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DA687A"/>
    <w:multiLevelType w:val="hybridMultilevel"/>
    <w:tmpl w:val="F7A8799C"/>
    <w:lvl w:ilvl="0" w:tplc="879AA74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DB3A5B"/>
    <w:multiLevelType w:val="hybridMultilevel"/>
    <w:tmpl w:val="0C6AC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US" w:vendorID="64" w:dllVersion="131078" w:nlCheck="1" w:checkStyle="1"/>
  <w:defaultTabStop w:val="720"/>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MzMzW3NDUxNDI0NzdU0lEKTi0uzszPAykwqwUAsalEeSwAAAA="/>
  </w:docVars>
  <w:rsids>
    <w:rsidRoot w:val="00675E93"/>
    <w:rsid w:val="000000B2"/>
    <w:rsid w:val="00006DA9"/>
    <w:rsid w:val="00031152"/>
    <w:rsid w:val="00040F9B"/>
    <w:rsid w:val="00044179"/>
    <w:rsid w:val="00054566"/>
    <w:rsid w:val="00056BFC"/>
    <w:rsid w:val="000654EB"/>
    <w:rsid w:val="00070137"/>
    <w:rsid w:val="00080612"/>
    <w:rsid w:val="00082803"/>
    <w:rsid w:val="0008568C"/>
    <w:rsid w:val="00086349"/>
    <w:rsid w:val="00092C0A"/>
    <w:rsid w:val="00093320"/>
    <w:rsid w:val="00093E1E"/>
    <w:rsid w:val="00094183"/>
    <w:rsid w:val="000A2D53"/>
    <w:rsid w:val="000A407F"/>
    <w:rsid w:val="000B57E7"/>
    <w:rsid w:val="000C24D1"/>
    <w:rsid w:val="000E39B6"/>
    <w:rsid w:val="000E7E18"/>
    <w:rsid w:val="00100F86"/>
    <w:rsid w:val="00107F75"/>
    <w:rsid w:val="00113D0D"/>
    <w:rsid w:val="001177E2"/>
    <w:rsid w:val="00122FBB"/>
    <w:rsid w:val="00140D0D"/>
    <w:rsid w:val="00147BEE"/>
    <w:rsid w:val="00150503"/>
    <w:rsid w:val="0016486B"/>
    <w:rsid w:val="00182271"/>
    <w:rsid w:val="00193362"/>
    <w:rsid w:val="001A76AF"/>
    <w:rsid w:val="001B174F"/>
    <w:rsid w:val="001B3C59"/>
    <w:rsid w:val="001D0B10"/>
    <w:rsid w:val="001F2485"/>
    <w:rsid w:val="001F6C8F"/>
    <w:rsid w:val="00214235"/>
    <w:rsid w:val="00221589"/>
    <w:rsid w:val="00222282"/>
    <w:rsid w:val="00224A20"/>
    <w:rsid w:val="00236911"/>
    <w:rsid w:val="0024342C"/>
    <w:rsid w:val="002526F3"/>
    <w:rsid w:val="002573DD"/>
    <w:rsid w:val="002669E2"/>
    <w:rsid w:val="00266DAB"/>
    <w:rsid w:val="00286760"/>
    <w:rsid w:val="002922FC"/>
    <w:rsid w:val="002A3948"/>
    <w:rsid w:val="002C0408"/>
    <w:rsid w:val="002C34EB"/>
    <w:rsid w:val="002E63B6"/>
    <w:rsid w:val="00310ADF"/>
    <w:rsid w:val="003177F7"/>
    <w:rsid w:val="00322E71"/>
    <w:rsid w:val="00332555"/>
    <w:rsid w:val="003772FB"/>
    <w:rsid w:val="003813C5"/>
    <w:rsid w:val="00383D57"/>
    <w:rsid w:val="0038706B"/>
    <w:rsid w:val="00394970"/>
    <w:rsid w:val="003A2D5E"/>
    <w:rsid w:val="003A4CAD"/>
    <w:rsid w:val="003C4CD0"/>
    <w:rsid w:val="003C4E0D"/>
    <w:rsid w:val="003D000B"/>
    <w:rsid w:val="003D14F9"/>
    <w:rsid w:val="003D297E"/>
    <w:rsid w:val="003D2E0A"/>
    <w:rsid w:val="003E136B"/>
    <w:rsid w:val="003E48E5"/>
    <w:rsid w:val="003F4337"/>
    <w:rsid w:val="00403328"/>
    <w:rsid w:val="0040694F"/>
    <w:rsid w:val="00425036"/>
    <w:rsid w:val="00440A55"/>
    <w:rsid w:val="00444E73"/>
    <w:rsid w:val="004807FA"/>
    <w:rsid w:val="00491898"/>
    <w:rsid w:val="00494DC3"/>
    <w:rsid w:val="00495E99"/>
    <w:rsid w:val="0049683C"/>
    <w:rsid w:val="004A1FCB"/>
    <w:rsid w:val="004A324C"/>
    <w:rsid w:val="004E2731"/>
    <w:rsid w:val="004F1356"/>
    <w:rsid w:val="004F62E5"/>
    <w:rsid w:val="00501FD7"/>
    <w:rsid w:val="00502EB6"/>
    <w:rsid w:val="00504624"/>
    <w:rsid w:val="00507DA2"/>
    <w:rsid w:val="0051168E"/>
    <w:rsid w:val="005122BE"/>
    <w:rsid w:val="00527FD7"/>
    <w:rsid w:val="00530A6C"/>
    <w:rsid w:val="00554393"/>
    <w:rsid w:val="005618BB"/>
    <w:rsid w:val="00573DFB"/>
    <w:rsid w:val="00580111"/>
    <w:rsid w:val="005801D6"/>
    <w:rsid w:val="005A2716"/>
    <w:rsid w:val="005A5430"/>
    <w:rsid w:val="005B2DDC"/>
    <w:rsid w:val="005D6A02"/>
    <w:rsid w:val="005E098C"/>
    <w:rsid w:val="005E2172"/>
    <w:rsid w:val="005E37CC"/>
    <w:rsid w:val="005E44E3"/>
    <w:rsid w:val="005E4EC4"/>
    <w:rsid w:val="005F20EB"/>
    <w:rsid w:val="005F5CEF"/>
    <w:rsid w:val="006034A0"/>
    <w:rsid w:val="00603CE3"/>
    <w:rsid w:val="00611F1B"/>
    <w:rsid w:val="00622B5D"/>
    <w:rsid w:val="006376D1"/>
    <w:rsid w:val="00637778"/>
    <w:rsid w:val="00644BC9"/>
    <w:rsid w:val="00645E43"/>
    <w:rsid w:val="0064602A"/>
    <w:rsid w:val="006466EC"/>
    <w:rsid w:val="0064748B"/>
    <w:rsid w:val="0065121D"/>
    <w:rsid w:val="00652C49"/>
    <w:rsid w:val="006543FC"/>
    <w:rsid w:val="006546B9"/>
    <w:rsid w:val="00667765"/>
    <w:rsid w:val="00673559"/>
    <w:rsid w:val="00675E93"/>
    <w:rsid w:val="00685124"/>
    <w:rsid w:val="00691FCE"/>
    <w:rsid w:val="00696BDF"/>
    <w:rsid w:val="00697FF4"/>
    <w:rsid w:val="006B2631"/>
    <w:rsid w:val="006B64D5"/>
    <w:rsid w:val="007022FA"/>
    <w:rsid w:val="007036C6"/>
    <w:rsid w:val="007317C5"/>
    <w:rsid w:val="0074632C"/>
    <w:rsid w:val="007554D0"/>
    <w:rsid w:val="007800B2"/>
    <w:rsid w:val="007C5D8F"/>
    <w:rsid w:val="007C6EBF"/>
    <w:rsid w:val="007C75A0"/>
    <w:rsid w:val="007D21B6"/>
    <w:rsid w:val="007D45E0"/>
    <w:rsid w:val="007D5EE3"/>
    <w:rsid w:val="008021D7"/>
    <w:rsid w:val="00834FE5"/>
    <w:rsid w:val="0083667A"/>
    <w:rsid w:val="00836C69"/>
    <w:rsid w:val="00841199"/>
    <w:rsid w:val="008421E7"/>
    <w:rsid w:val="008437EE"/>
    <w:rsid w:val="00855140"/>
    <w:rsid w:val="008619CC"/>
    <w:rsid w:val="00867383"/>
    <w:rsid w:val="00883265"/>
    <w:rsid w:val="00883DAA"/>
    <w:rsid w:val="00887714"/>
    <w:rsid w:val="008914C5"/>
    <w:rsid w:val="00894554"/>
    <w:rsid w:val="008A49CB"/>
    <w:rsid w:val="008A60E7"/>
    <w:rsid w:val="008D71F9"/>
    <w:rsid w:val="008E04CA"/>
    <w:rsid w:val="008F2448"/>
    <w:rsid w:val="008F3ABA"/>
    <w:rsid w:val="008F515A"/>
    <w:rsid w:val="008F6D3B"/>
    <w:rsid w:val="00902A52"/>
    <w:rsid w:val="0090395C"/>
    <w:rsid w:val="00904B91"/>
    <w:rsid w:val="0090532C"/>
    <w:rsid w:val="00915896"/>
    <w:rsid w:val="00917858"/>
    <w:rsid w:val="00917FAD"/>
    <w:rsid w:val="00930A4A"/>
    <w:rsid w:val="0093102E"/>
    <w:rsid w:val="0093598B"/>
    <w:rsid w:val="009500B1"/>
    <w:rsid w:val="00951FB9"/>
    <w:rsid w:val="00952D06"/>
    <w:rsid w:val="00972F37"/>
    <w:rsid w:val="0099299E"/>
    <w:rsid w:val="00993B8F"/>
    <w:rsid w:val="009A6B99"/>
    <w:rsid w:val="009A6F65"/>
    <w:rsid w:val="009B079A"/>
    <w:rsid w:val="009B133B"/>
    <w:rsid w:val="009C25E6"/>
    <w:rsid w:val="009C4BDF"/>
    <w:rsid w:val="009D0C6F"/>
    <w:rsid w:val="009D2997"/>
    <w:rsid w:val="009F0F09"/>
    <w:rsid w:val="00A20950"/>
    <w:rsid w:val="00A24048"/>
    <w:rsid w:val="00A26405"/>
    <w:rsid w:val="00A26982"/>
    <w:rsid w:val="00A31610"/>
    <w:rsid w:val="00A57A4A"/>
    <w:rsid w:val="00A60E9E"/>
    <w:rsid w:val="00A702E5"/>
    <w:rsid w:val="00A70499"/>
    <w:rsid w:val="00AA1C21"/>
    <w:rsid w:val="00AE0E20"/>
    <w:rsid w:val="00AE1602"/>
    <w:rsid w:val="00B01CD5"/>
    <w:rsid w:val="00B10FC8"/>
    <w:rsid w:val="00B1360A"/>
    <w:rsid w:val="00B13F97"/>
    <w:rsid w:val="00B15554"/>
    <w:rsid w:val="00B160E2"/>
    <w:rsid w:val="00B16F6B"/>
    <w:rsid w:val="00B25D4F"/>
    <w:rsid w:val="00B34160"/>
    <w:rsid w:val="00B35781"/>
    <w:rsid w:val="00B4507C"/>
    <w:rsid w:val="00B56D11"/>
    <w:rsid w:val="00B74EFF"/>
    <w:rsid w:val="00B771D6"/>
    <w:rsid w:val="00B83C33"/>
    <w:rsid w:val="00BA05BC"/>
    <w:rsid w:val="00BA6476"/>
    <w:rsid w:val="00BB57B8"/>
    <w:rsid w:val="00BC6C78"/>
    <w:rsid w:val="00BD55D5"/>
    <w:rsid w:val="00BD673A"/>
    <w:rsid w:val="00BE1634"/>
    <w:rsid w:val="00BE38E9"/>
    <w:rsid w:val="00BF1696"/>
    <w:rsid w:val="00BF49AC"/>
    <w:rsid w:val="00BF7BA2"/>
    <w:rsid w:val="00C041B7"/>
    <w:rsid w:val="00C075DF"/>
    <w:rsid w:val="00C33379"/>
    <w:rsid w:val="00C34BFE"/>
    <w:rsid w:val="00C70047"/>
    <w:rsid w:val="00C755D1"/>
    <w:rsid w:val="00C856FE"/>
    <w:rsid w:val="00CC4211"/>
    <w:rsid w:val="00CD0730"/>
    <w:rsid w:val="00CD1C9C"/>
    <w:rsid w:val="00CD62C7"/>
    <w:rsid w:val="00CF07C1"/>
    <w:rsid w:val="00CF2481"/>
    <w:rsid w:val="00CF5C0A"/>
    <w:rsid w:val="00D2351E"/>
    <w:rsid w:val="00D3097F"/>
    <w:rsid w:val="00D32555"/>
    <w:rsid w:val="00D53BD1"/>
    <w:rsid w:val="00D60AB0"/>
    <w:rsid w:val="00D74722"/>
    <w:rsid w:val="00DA325A"/>
    <w:rsid w:val="00DB58EF"/>
    <w:rsid w:val="00DB7DCD"/>
    <w:rsid w:val="00DD4D97"/>
    <w:rsid w:val="00DF6CD1"/>
    <w:rsid w:val="00E15319"/>
    <w:rsid w:val="00E16C47"/>
    <w:rsid w:val="00E34698"/>
    <w:rsid w:val="00E37212"/>
    <w:rsid w:val="00E50F13"/>
    <w:rsid w:val="00E51D06"/>
    <w:rsid w:val="00E534B1"/>
    <w:rsid w:val="00E57675"/>
    <w:rsid w:val="00E65673"/>
    <w:rsid w:val="00E705A6"/>
    <w:rsid w:val="00E76980"/>
    <w:rsid w:val="00E90022"/>
    <w:rsid w:val="00E90A76"/>
    <w:rsid w:val="00E934A8"/>
    <w:rsid w:val="00E9418F"/>
    <w:rsid w:val="00EA1B41"/>
    <w:rsid w:val="00EA2DD0"/>
    <w:rsid w:val="00EA606D"/>
    <w:rsid w:val="00EB210F"/>
    <w:rsid w:val="00ED012A"/>
    <w:rsid w:val="00ED5D09"/>
    <w:rsid w:val="00EE1B69"/>
    <w:rsid w:val="00EE4CCD"/>
    <w:rsid w:val="00EF24B9"/>
    <w:rsid w:val="00EF313F"/>
    <w:rsid w:val="00EF45F9"/>
    <w:rsid w:val="00F01BEC"/>
    <w:rsid w:val="00F074F9"/>
    <w:rsid w:val="00F20D7B"/>
    <w:rsid w:val="00F2422D"/>
    <w:rsid w:val="00F330B8"/>
    <w:rsid w:val="00F411B2"/>
    <w:rsid w:val="00F42CE7"/>
    <w:rsid w:val="00F517FE"/>
    <w:rsid w:val="00F871C4"/>
    <w:rsid w:val="00F93C84"/>
    <w:rsid w:val="00F95594"/>
    <w:rsid w:val="00F97BF4"/>
    <w:rsid w:val="00FB0545"/>
    <w:rsid w:val="00FB0771"/>
    <w:rsid w:val="00FB0EC6"/>
    <w:rsid w:val="00FC1498"/>
    <w:rsid w:val="00FD48A6"/>
    <w:rsid w:val="00FD5B36"/>
    <w:rsid w:val="00FD69D2"/>
    <w:rsid w:val="00FE70DB"/>
    <w:rsid w:val="00FF2381"/>
    <w:rsid w:val="00FF338B"/>
    <w:rsid w:val="00FF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6A4C7"/>
  <w15:docId w15:val="{793DBE37-AF08-4FDA-B85C-7BBBC450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E93"/>
    <w:pPr>
      <w:spacing w:after="0" w:line="240" w:lineRule="auto"/>
    </w:pPr>
    <w:rPr>
      <w:rFonts w:ascii="Times New Roman" w:eastAsia="Times New Roman" w:hAnsi="Times New Roman" w:cs="Times New Roman"/>
      <w:sz w:val="28"/>
      <w:szCs w:val="20"/>
      <w:lang w:eastAsia="ro-RO"/>
    </w:rPr>
  </w:style>
  <w:style w:type="paragraph" w:styleId="Heading1">
    <w:name w:val="heading 1"/>
    <w:basedOn w:val="Normal"/>
    <w:link w:val="Heading1Char"/>
    <w:uiPriority w:val="9"/>
    <w:qFormat/>
    <w:rsid w:val="00FD5B36"/>
    <w:pPr>
      <w:spacing w:before="100" w:beforeAutospacing="1" w:after="100" w:afterAutospacing="1"/>
      <w:outlineLvl w:val="0"/>
    </w:pPr>
    <w:rPr>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75E93"/>
    <w:pPr>
      <w:jc w:val="both"/>
    </w:pPr>
    <w:rPr>
      <w:lang w:val="ro-RO"/>
    </w:rPr>
  </w:style>
  <w:style w:type="character" w:customStyle="1" w:styleId="BodyTextChar">
    <w:name w:val="Body Text Char"/>
    <w:basedOn w:val="DefaultParagraphFont"/>
    <w:link w:val="BodyText"/>
    <w:rsid w:val="00675E93"/>
    <w:rPr>
      <w:rFonts w:ascii="Times New Roman" w:eastAsia="Times New Roman" w:hAnsi="Times New Roman" w:cs="Times New Roman"/>
      <w:sz w:val="28"/>
      <w:szCs w:val="20"/>
      <w:lang w:val="ro-RO" w:eastAsia="ro-RO"/>
    </w:rPr>
  </w:style>
  <w:style w:type="paragraph" w:styleId="Header">
    <w:name w:val="header"/>
    <w:basedOn w:val="Normal"/>
    <w:link w:val="HeaderChar"/>
    <w:rsid w:val="00675E93"/>
    <w:pPr>
      <w:tabs>
        <w:tab w:val="center" w:pos="4536"/>
        <w:tab w:val="right" w:pos="9072"/>
      </w:tabs>
    </w:pPr>
  </w:style>
  <w:style w:type="character" w:customStyle="1" w:styleId="HeaderChar">
    <w:name w:val="Header Char"/>
    <w:basedOn w:val="DefaultParagraphFont"/>
    <w:link w:val="Header"/>
    <w:rsid w:val="00675E93"/>
    <w:rPr>
      <w:rFonts w:ascii="Times New Roman" w:eastAsia="Times New Roman" w:hAnsi="Times New Roman" w:cs="Times New Roman"/>
      <w:sz w:val="28"/>
      <w:szCs w:val="20"/>
      <w:lang w:eastAsia="ro-RO"/>
    </w:rPr>
  </w:style>
  <w:style w:type="character" w:styleId="PageNumber">
    <w:name w:val="page number"/>
    <w:basedOn w:val="DefaultParagraphFont"/>
    <w:rsid w:val="00675E93"/>
  </w:style>
  <w:style w:type="character" w:styleId="Hyperlink">
    <w:name w:val="Hyperlink"/>
    <w:uiPriority w:val="99"/>
    <w:rsid w:val="00675E93"/>
    <w:rPr>
      <w:color w:val="0000FF"/>
      <w:u w:val="single"/>
    </w:rPr>
  </w:style>
  <w:style w:type="paragraph" w:customStyle="1" w:styleId="Body">
    <w:name w:val="Body"/>
    <w:rsid w:val="00675E93"/>
    <w:pPr>
      <w:pBdr>
        <w:top w:val="nil"/>
        <w:left w:val="nil"/>
        <w:bottom w:val="nil"/>
        <w:right w:val="nil"/>
        <w:between w:val="nil"/>
        <w:bar w:val="nil"/>
      </w:pBdr>
    </w:pPr>
    <w:rPr>
      <w:rFonts w:ascii="Calibri" w:eastAsia="Calibri" w:hAnsi="Calibri" w:cs="Calibri"/>
      <w:color w:val="000000"/>
      <w:u w:color="000000"/>
      <w:bdr w:val="nil"/>
    </w:rPr>
  </w:style>
  <w:style w:type="paragraph" w:styleId="ListParagraph">
    <w:name w:val="List Paragraph"/>
    <w:basedOn w:val="Normal"/>
    <w:uiPriority w:val="34"/>
    <w:qFormat/>
    <w:rsid w:val="00675E93"/>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573DFB"/>
    <w:rPr>
      <w:sz w:val="20"/>
    </w:rPr>
  </w:style>
  <w:style w:type="character" w:customStyle="1" w:styleId="FootnoteTextChar">
    <w:name w:val="Footnote Text Char"/>
    <w:basedOn w:val="DefaultParagraphFont"/>
    <w:link w:val="FootnoteText"/>
    <w:uiPriority w:val="99"/>
    <w:semiHidden/>
    <w:rsid w:val="00573DFB"/>
    <w:rPr>
      <w:rFonts w:ascii="Times New Roman" w:eastAsia="Times New Roman" w:hAnsi="Times New Roman" w:cs="Times New Roman"/>
      <w:sz w:val="20"/>
      <w:szCs w:val="20"/>
      <w:lang w:eastAsia="ro-RO"/>
    </w:rPr>
  </w:style>
  <w:style w:type="character" w:styleId="FootnoteReference">
    <w:name w:val="footnote reference"/>
    <w:basedOn w:val="DefaultParagraphFont"/>
    <w:uiPriority w:val="99"/>
    <w:semiHidden/>
    <w:unhideWhenUsed/>
    <w:rsid w:val="00573DFB"/>
    <w:rPr>
      <w:vertAlign w:val="superscript"/>
    </w:rPr>
  </w:style>
  <w:style w:type="character" w:styleId="CommentReference">
    <w:name w:val="annotation reference"/>
    <w:basedOn w:val="DefaultParagraphFont"/>
    <w:uiPriority w:val="99"/>
    <w:semiHidden/>
    <w:unhideWhenUsed/>
    <w:rsid w:val="006546B9"/>
    <w:rPr>
      <w:sz w:val="16"/>
      <w:szCs w:val="16"/>
    </w:rPr>
  </w:style>
  <w:style w:type="paragraph" w:styleId="CommentText">
    <w:name w:val="annotation text"/>
    <w:basedOn w:val="Normal"/>
    <w:link w:val="CommentTextChar"/>
    <w:uiPriority w:val="99"/>
    <w:unhideWhenUsed/>
    <w:rsid w:val="006546B9"/>
    <w:rPr>
      <w:sz w:val="20"/>
    </w:rPr>
  </w:style>
  <w:style w:type="character" w:customStyle="1" w:styleId="CommentTextChar">
    <w:name w:val="Comment Text Char"/>
    <w:basedOn w:val="DefaultParagraphFont"/>
    <w:link w:val="CommentText"/>
    <w:uiPriority w:val="99"/>
    <w:rsid w:val="006546B9"/>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6546B9"/>
    <w:rPr>
      <w:b/>
      <w:bCs/>
    </w:rPr>
  </w:style>
  <w:style w:type="character" w:customStyle="1" w:styleId="CommentSubjectChar">
    <w:name w:val="Comment Subject Char"/>
    <w:basedOn w:val="CommentTextChar"/>
    <w:link w:val="CommentSubject"/>
    <w:uiPriority w:val="99"/>
    <w:semiHidden/>
    <w:rsid w:val="006546B9"/>
    <w:rPr>
      <w:rFonts w:ascii="Times New Roman" w:eastAsia="Times New Roman" w:hAnsi="Times New Roman" w:cs="Times New Roman"/>
      <w:b/>
      <w:bCs/>
      <w:sz w:val="20"/>
      <w:szCs w:val="20"/>
      <w:lang w:eastAsia="ro-RO"/>
    </w:rPr>
  </w:style>
  <w:style w:type="paragraph" w:styleId="BalloonText">
    <w:name w:val="Balloon Text"/>
    <w:basedOn w:val="Normal"/>
    <w:link w:val="BalloonTextChar"/>
    <w:uiPriority w:val="99"/>
    <w:semiHidden/>
    <w:unhideWhenUsed/>
    <w:rsid w:val="006546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6B9"/>
    <w:rPr>
      <w:rFonts w:ascii="Segoe UI" w:eastAsia="Times New Roman" w:hAnsi="Segoe UI" w:cs="Segoe UI"/>
      <w:sz w:val="18"/>
      <w:szCs w:val="18"/>
      <w:lang w:eastAsia="ro-RO"/>
    </w:rPr>
  </w:style>
  <w:style w:type="table" w:styleId="TableGrid">
    <w:name w:val="Table Grid"/>
    <w:basedOn w:val="TableNormal"/>
    <w:uiPriority w:val="39"/>
    <w:rsid w:val="00093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543FC"/>
    <w:pPr>
      <w:tabs>
        <w:tab w:val="center" w:pos="4680"/>
        <w:tab w:val="right" w:pos="9360"/>
      </w:tabs>
    </w:pPr>
  </w:style>
  <w:style w:type="character" w:customStyle="1" w:styleId="FooterChar">
    <w:name w:val="Footer Char"/>
    <w:basedOn w:val="DefaultParagraphFont"/>
    <w:link w:val="Footer"/>
    <w:uiPriority w:val="99"/>
    <w:rsid w:val="006543FC"/>
    <w:rPr>
      <w:rFonts w:ascii="Times New Roman" w:eastAsia="Times New Roman" w:hAnsi="Times New Roman" w:cs="Times New Roman"/>
      <w:sz w:val="28"/>
      <w:szCs w:val="20"/>
      <w:lang w:eastAsia="ro-RO"/>
    </w:rPr>
  </w:style>
  <w:style w:type="character" w:customStyle="1" w:styleId="Heading1Char">
    <w:name w:val="Heading 1 Char"/>
    <w:basedOn w:val="DefaultParagraphFont"/>
    <w:link w:val="Heading1"/>
    <w:uiPriority w:val="9"/>
    <w:rsid w:val="00FD5B3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32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buluc@gmail.com" TargetMode="External"/><Relationship Id="rId18" Type="http://schemas.openxmlformats.org/officeDocument/2006/relationships/hyperlink" Target="https://www.aeaweb.org/econlit/jelCodes.php" TargetMode="External"/><Relationship Id="rId26" Type="http://schemas.openxmlformats.org/officeDocument/2006/relationships/hyperlink" Target="https://doi.org/10.1037/0000120-016" TargetMode="External"/><Relationship Id="rId3" Type="http://schemas.openxmlformats.org/officeDocument/2006/relationships/styles" Target="styles.xml"/><Relationship Id="rId21" Type="http://schemas.openxmlformats.org/officeDocument/2006/relationships/hyperlink" Target="https://doi.org/10.1037/ppm0000185" TargetMode="External"/><Relationship Id="rId7" Type="http://schemas.openxmlformats.org/officeDocument/2006/relationships/endnotes" Target="endnotes.xml"/><Relationship Id="rId12" Type="http://schemas.openxmlformats.org/officeDocument/2006/relationships/hyperlink" Target="https://orcid.org/0000-0052-6474-793" TargetMode="External"/><Relationship Id="rId17" Type="http://schemas.openxmlformats.org/officeDocument/2006/relationships/image" Target="media/image2.png"/><Relationship Id="rId25" Type="http://schemas.openxmlformats.org/officeDocument/2006/relationships/hyperlink" Target="https://earlychildhoodeducation.digi.hansreitzel.dk/" TargetMode="External"/><Relationship Id="rId2" Type="http://schemas.openxmlformats.org/officeDocument/2006/relationships/numbering" Target="numbering.xml"/><Relationship Id="rId16" Type="http://schemas.openxmlformats.org/officeDocument/2006/relationships/hyperlink" Target="https://creativecommons.org/licenses/by-nc/4.0/" TargetMode="External"/><Relationship Id="rId20" Type="http://schemas.openxmlformats.org/officeDocument/2006/relationships/hyperlink" Target="https://apastyle.apa.org/style-grammar-guidelines/references/exampl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zanella@am.edu.ab" TargetMode="External"/><Relationship Id="rId24" Type="http://schemas.openxmlformats.org/officeDocument/2006/relationships/hyperlink" Target="https://doi.org/10.1037/0000168-00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xfuentes@uv.es" TargetMode="External"/><Relationship Id="rId23" Type="http://schemas.openxmlformats.org/officeDocument/2006/relationships/hyperlink" Target="http://technorhetoric.net/21.1/topoi/butler/index.html" TargetMode="External"/><Relationship Id="rId28" Type="http://schemas.openxmlformats.org/officeDocument/2006/relationships/header" Target="header1.xml"/><Relationship Id="rId10" Type="http://schemas.openxmlformats.org/officeDocument/2006/relationships/hyperlink" Target="https://orcid.org/0000-0002-6474-7539" TargetMode="External"/><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2-7478-3699" TargetMode="External"/><Relationship Id="rId14" Type="http://schemas.openxmlformats.org/officeDocument/2006/relationships/hyperlink" Target="https://orcid.org/0000-0089-6484-7939" TargetMode="External"/><Relationship Id="rId22" Type="http://schemas.openxmlformats.org/officeDocument/2006/relationships/hyperlink" Target="https://doi.org/10.1371/journal.pone.0193972" TargetMode="External"/><Relationship Id="rId27" Type="http://schemas.openxmlformats.org/officeDocument/2006/relationships/hyperlink" Target="https://www.cancer.gov/publications/patient-education/takingtime.pdf" TargetMode="Externa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Employment</c:v>
                </c:pt>
              </c:strCache>
            </c:strRef>
          </c:tx>
          <c:dLbls>
            <c:spPr>
              <a:noFill/>
              <a:ln w="19031">
                <a:noFill/>
              </a:ln>
            </c:spPr>
            <c:txPr>
              <a:bodyPr/>
              <a:lstStyle/>
              <a:p>
                <a:pPr>
                  <a:defRPr sz="674" b="1" i="0" baseline="0">
                    <a:latin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2000</c:v>
                </c:pt>
                <c:pt idx="1">
                  <c:v>2005</c:v>
                </c:pt>
                <c:pt idx="2">
                  <c:v>2007</c:v>
                </c:pt>
                <c:pt idx="3">
                  <c:v>2010</c:v>
                </c:pt>
                <c:pt idx="4">
                  <c:v>2015</c:v>
                </c:pt>
              </c:numCache>
            </c:numRef>
          </c:cat>
          <c:val>
            <c:numRef>
              <c:f>Sheet1!$B$2:$B$6</c:f>
              <c:numCache>
                <c:formatCode>General</c:formatCode>
                <c:ptCount val="5"/>
                <c:pt idx="1">
                  <c:v>1960</c:v>
                </c:pt>
                <c:pt idx="2">
                  <c:v>1974</c:v>
                </c:pt>
                <c:pt idx="3">
                  <c:v>1646</c:v>
                </c:pt>
                <c:pt idx="4">
                  <c:v>1551</c:v>
                </c:pt>
              </c:numCache>
            </c:numRef>
          </c:val>
          <c:smooth val="0"/>
          <c:extLst>
            <c:ext xmlns:c16="http://schemas.microsoft.com/office/drawing/2014/chart" uri="{C3380CC4-5D6E-409C-BE32-E72D297353CC}">
              <c16:uniqueId val="{00000000-5A66-4389-89D6-A5E3D7E12FAC}"/>
            </c:ext>
          </c:extLst>
        </c:ser>
        <c:ser>
          <c:idx val="1"/>
          <c:order val="1"/>
          <c:tx>
            <c:strRef>
              <c:f>Sheet1!$C$1</c:f>
              <c:strCache>
                <c:ptCount val="1"/>
                <c:pt idx="0">
                  <c:v>Average number of employees </c:v>
                </c:pt>
              </c:strCache>
            </c:strRef>
          </c:tx>
          <c:dLbls>
            <c:spPr>
              <a:noFill/>
              <a:ln w="19031">
                <a:noFill/>
              </a:ln>
            </c:spPr>
            <c:txPr>
              <a:bodyPr/>
              <a:lstStyle/>
              <a:p>
                <a:pPr>
                  <a:defRPr sz="674" b="1" i="0" baseline="0">
                    <a:latin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2000</c:v>
                </c:pt>
                <c:pt idx="1">
                  <c:v>2005</c:v>
                </c:pt>
                <c:pt idx="2">
                  <c:v>2007</c:v>
                </c:pt>
                <c:pt idx="3">
                  <c:v>2010</c:v>
                </c:pt>
                <c:pt idx="4">
                  <c:v>2015</c:v>
                </c:pt>
              </c:numCache>
            </c:numRef>
          </c:cat>
          <c:val>
            <c:numRef>
              <c:f>Sheet1!$C$2:$C$6</c:f>
              <c:numCache>
                <c:formatCode>General</c:formatCode>
                <c:ptCount val="5"/>
                <c:pt idx="0">
                  <c:v>1560</c:v>
                </c:pt>
                <c:pt idx="1">
                  <c:v>1425</c:v>
                </c:pt>
                <c:pt idx="2">
                  <c:v>1403</c:v>
                </c:pt>
                <c:pt idx="3">
                  <c:v>999</c:v>
                </c:pt>
                <c:pt idx="4">
                  <c:v>1122</c:v>
                </c:pt>
              </c:numCache>
            </c:numRef>
          </c:val>
          <c:smooth val="0"/>
          <c:extLst>
            <c:ext xmlns:c16="http://schemas.microsoft.com/office/drawing/2014/chart" uri="{C3380CC4-5D6E-409C-BE32-E72D297353CC}">
              <c16:uniqueId val="{00000001-5A66-4389-89D6-A5E3D7E12FAC}"/>
            </c:ext>
          </c:extLst>
        </c:ser>
        <c:dLbls>
          <c:showLegendKey val="0"/>
          <c:showVal val="0"/>
          <c:showCatName val="0"/>
          <c:showSerName val="0"/>
          <c:showPercent val="0"/>
          <c:showBubbleSize val="0"/>
        </c:dLbls>
        <c:marker val="1"/>
        <c:smooth val="0"/>
        <c:axId val="99576832"/>
        <c:axId val="99582720"/>
      </c:lineChart>
      <c:catAx>
        <c:axId val="99576832"/>
        <c:scaling>
          <c:orientation val="minMax"/>
        </c:scaling>
        <c:delete val="0"/>
        <c:axPos val="b"/>
        <c:numFmt formatCode="General" sourceLinked="1"/>
        <c:majorTickMark val="out"/>
        <c:minorTickMark val="none"/>
        <c:tickLblPos val="nextTo"/>
        <c:crossAx val="99582720"/>
        <c:crosses val="autoZero"/>
        <c:auto val="1"/>
        <c:lblAlgn val="ctr"/>
        <c:lblOffset val="100"/>
        <c:noMultiLvlLbl val="0"/>
      </c:catAx>
      <c:valAx>
        <c:axId val="99582720"/>
        <c:scaling>
          <c:orientation val="minMax"/>
        </c:scaling>
        <c:delete val="0"/>
        <c:axPos val="l"/>
        <c:majorGridlines/>
        <c:numFmt formatCode="General" sourceLinked="1"/>
        <c:majorTickMark val="out"/>
        <c:minorTickMark val="none"/>
        <c:tickLblPos val="nextTo"/>
        <c:crossAx val="99576832"/>
        <c:crosses val="autoZero"/>
        <c:crossBetween val="between"/>
      </c:valAx>
    </c:plotArea>
    <c:legend>
      <c:legendPos val="b"/>
      <c:overlay val="0"/>
      <c:txPr>
        <a:bodyPr/>
        <a:lstStyle/>
        <a:p>
          <a:pPr>
            <a:defRPr sz="674" b="1" i="0" baseline="0">
              <a:latin typeface="Arial" pitchFamily="34" charset="0"/>
            </a:defRPr>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CD965-DE47-49FE-9DFC-91EED808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248</cp:revision>
  <dcterms:created xsi:type="dcterms:W3CDTF">2023-02-28T09:13:00Z</dcterms:created>
  <dcterms:modified xsi:type="dcterms:W3CDTF">2023-06-19T09:37:00Z</dcterms:modified>
</cp:coreProperties>
</file>